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7F4E6D" w:rsidRDefault="00F06A3C" w:rsidP="00FA5FAF">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4377EF">
        <w:rPr>
          <w:rFonts w:ascii="Calibri" w:eastAsia="Calibri" w:hAnsi="Calibri" w:cs="Times New Roman"/>
          <w:b/>
          <w:i/>
        </w:rPr>
        <w:t>К</w:t>
      </w:r>
      <w:bookmarkStart w:id="0" w:name="_GoBack"/>
      <w:bookmarkEnd w:id="0"/>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DC3BB0">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DC3BB0">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en</w:t>
            </w:r>
            <w:r w:rsidR="00D55DC2" w:rsidRPr="008E4D35">
              <w:rPr>
                <w:rFonts w:eastAsia="Times New Roman" w:cstheme="minorHAnsi"/>
                <w:b/>
                <w:snapToGrid w:val="0"/>
                <w:sz w:val="24"/>
                <w:szCs w:val="24"/>
              </w:rPr>
              <w:t xml:space="preserve"> процесуален кодекс</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DC3BB0">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DC3BB0">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DC3BB0">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ЗЗД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задълженията и договорите</w:t>
            </w:r>
          </w:p>
        </w:tc>
      </w:tr>
      <w:tr w:rsidR="00015702" w:rsidRPr="008E4D35" w:rsidTr="00DC3BB0">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BF30D2" w:rsidRPr="008E4D35" w:rsidTr="00DC3BB0">
        <w:tc>
          <w:tcPr>
            <w:tcW w:w="1124" w:type="pct"/>
            <w:shd w:val="clear" w:color="auto" w:fill="D9D9D9"/>
          </w:tcPr>
          <w:p w:rsidR="00BF30D2" w:rsidRPr="008E4D35" w:rsidRDefault="00BF30D2"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BF30D2" w:rsidRPr="008E4D35" w:rsidRDefault="00BF30D2" w:rsidP="00C1144B">
            <w:pPr>
              <w:spacing w:before="120" w:after="120" w:line="120" w:lineRule="auto"/>
              <w:ind w:left="288" w:right="288"/>
              <w:rPr>
                <w:rFonts w:eastAsia="Times New Roman" w:cstheme="minorHAnsi"/>
                <w:b/>
                <w:snapToGrid w:val="0"/>
                <w:sz w:val="24"/>
                <w:szCs w:val="24"/>
              </w:rPr>
            </w:pPr>
            <w:r w:rsidRPr="00BF30D2">
              <w:rPr>
                <w:rFonts w:eastAsia="Times New Roman" w:cstheme="minorHAnsi"/>
                <w:b/>
                <w:snapToGrid w:val="0"/>
                <w:sz w:val="24"/>
                <w:szCs w:val="24"/>
              </w:rPr>
              <w:t>Закон за управление на средствата от европейските структурни и инвестиционни фондове</w:t>
            </w:r>
          </w:p>
        </w:tc>
      </w:tr>
      <w:tr w:rsidR="001675DC" w:rsidRPr="008E4D35" w:rsidTr="00DC3BB0">
        <w:tc>
          <w:tcPr>
            <w:tcW w:w="1124" w:type="pct"/>
            <w:shd w:val="clear" w:color="auto" w:fill="D9D9D9"/>
          </w:tcPr>
          <w:p w:rsidR="001675DC" w:rsidRPr="008E4D35" w:rsidRDefault="001675D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ИСИС</w:t>
            </w:r>
          </w:p>
        </w:tc>
        <w:tc>
          <w:tcPr>
            <w:tcW w:w="3876" w:type="pct"/>
            <w:shd w:val="clear" w:color="auto" w:fill="F3F3F3"/>
          </w:tcPr>
          <w:p w:rsidR="001675DC" w:rsidRPr="008E4D35" w:rsidRDefault="001675D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Иновационната стратегия за интелигентна </w:t>
            </w:r>
          </w:p>
          <w:p w:rsidR="001675DC" w:rsidRPr="008E4D35" w:rsidRDefault="001675D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специализация</w:t>
            </w:r>
          </w:p>
        </w:tc>
      </w:tr>
      <w:tr w:rsidR="00C83BE5" w:rsidRPr="008E4D35" w:rsidTr="00DC3BB0">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DC3BB0">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752BE3" w:rsidRPr="008E4D35" w:rsidTr="00DC3BB0">
        <w:tc>
          <w:tcPr>
            <w:tcW w:w="1124" w:type="pct"/>
            <w:shd w:val="clear" w:color="auto" w:fill="D9D9D9"/>
          </w:tcPr>
          <w:p w:rsidR="00752BE3" w:rsidRPr="008E4D35" w:rsidRDefault="00752BE3"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НИРД</w:t>
            </w:r>
          </w:p>
        </w:tc>
        <w:tc>
          <w:tcPr>
            <w:tcW w:w="3876" w:type="pct"/>
            <w:shd w:val="clear" w:color="auto" w:fill="F3F3F3"/>
          </w:tcPr>
          <w:p w:rsidR="00752BE3" w:rsidRPr="008E4D35" w:rsidRDefault="00752BE3"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Научно-изследователска и развойна дейност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DC3BB0">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1375DA" w:rsidRPr="008E4D35" w:rsidRDefault="00734B42" w:rsidP="001375DA">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p>
          <w:p w:rsidR="00734B42" w:rsidRPr="008E4D35" w:rsidRDefault="00734B42" w:rsidP="001375DA">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конкурентоспособност“</w:t>
            </w:r>
          </w:p>
        </w:tc>
      </w:tr>
      <w:tr w:rsidR="00C470C9" w:rsidRPr="008E4D35" w:rsidTr="00DC3BB0">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752BE3" w:rsidRPr="008E4D35" w:rsidTr="00DC3BB0">
        <w:tc>
          <w:tcPr>
            <w:tcW w:w="1124" w:type="pct"/>
            <w:shd w:val="clear" w:color="auto" w:fill="D9D9D9"/>
          </w:tcPr>
          <w:p w:rsidR="00752BE3" w:rsidRPr="008E4D35" w:rsidRDefault="00752BE3" w:rsidP="00752BE3">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ОСР</w:t>
            </w:r>
          </w:p>
        </w:tc>
        <w:tc>
          <w:tcPr>
            <w:tcW w:w="3876" w:type="pct"/>
            <w:shd w:val="clear" w:color="auto" w:fill="F3F3F3"/>
          </w:tcPr>
          <w:p w:rsidR="00752BE3" w:rsidRPr="008E4D35" w:rsidRDefault="00752BE3" w:rsidP="00D012A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Обща стратегическа рамка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DC3BB0">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DC3BB0">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7178"/>
      </w:tblGrid>
      <w:tr w:rsidR="00F56BC0" w:rsidRPr="008E4D35" w:rsidTr="007E18D5">
        <w:tc>
          <w:tcPr>
            <w:tcW w:w="2085"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7203" w:type="dxa"/>
            <w:shd w:val="clear" w:color="auto" w:fill="F3F3F3"/>
          </w:tcPr>
          <w:p w:rsidR="00F56BC0" w:rsidRPr="008E4D35" w:rsidRDefault="00AD39DA" w:rsidP="00AD39DA">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00F56BC0"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00F56BC0"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7E18D5">
        <w:tc>
          <w:tcPr>
            <w:tcW w:w="2085"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7203"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пар.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Pr="00177AF4">
              <w:rPr>
                <w:rFonts w:eastAsia="Times New Roman" w:cstheme="minorHAnsi"/>
                <w:snapToGrid w:val="0"/>
                <w:sz w:val="24"/>
                <w:szCs w:val="24"/>
              </w:rPr>
              <w:t>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w:t>
            </w:r>
            <w:r w:rsidR="000C2A46">
              <w:rPr>
                <w:rFonts w:eastAsia="Times New Roman" w:cstheme="minorHAnsi"/>
                <w:snapToGrid w:val="0"/>
                <w:sz w:val="24"/>
                <w:szCs w:val="24"/>
              </w:rPr>
              <w:t>то и изпълнението на операции.</w:t>
            </w:r>
            <w:r w:rsidRPr="00177AF4">
              <w:rPr>
                <w:rFonts w:eastAsia="Times New Roman" w:cstheme="minorHAnsi"/>
                <w:snapToGrid w:val="0"/>
                <w:sz w:val="24"/>
                <w:szCs w:val="24"/>
              </w:rPr>
              <w:t xml:space="preserve"> </w:t>
            </w:r>
            <w:r w:rsidR="00F56BC0" w:rsidRPr="008E4D35">
              <w:rPr>
                <w:rFonts w:eastAsia="Times New Roman" w:cstheme="minorHAnsi"/>
                <w:snapToGrid w:val="0"/>
                <w:sz w:val="24"/>
                <w:szCs w:val="24"/>
              </w:rPr>
              <w:t xml:space="preserve">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6932EA" w:rsidRPr="008E4D35" w:rsidTr="007E18D5">
        <w:tc>
          <w:tcPr>
            <w:tcW w:w="2085" w:type="dxa"/>
            <w:shd w:val="clear" w:color="auto" w:fill="E6E6E6"/>
          </w:tcPr>
          <w:p w:rsidR="006932EA" w:rsidRPr="009200B0" w:rsidRDefault="006932EA" w:rsidP="00022A2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7203" w:type="dxa"/>
            <w:shd w:val="clear" w:color="auto" w:fill="F3F3F3"/>
          </w:tcPr>
          <w:p w:rsidR="006932EA" w:rsidRDefault="006932EA" w:rsidP="00022A25">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семена, гъби, </w:t>
            </w:r>
            <w:r w:rsidRPr="0003699C">
              <w:rPr>
                <w:rFonts w:eastAsia="Times New Roman" w:cstheme="minorHAnsi"/>
                <w:snapToGrid w:val="0"/>
                <w:sz w:val="24"/>
                <w:szCs w:val="24"/>
              </w:rPr>
              <w:lastRenderedPageBreak/>
              <w:t>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rsidR="006932EA" w:rsidRPr="00E42994" w:rsidRDefault="006932EA" w:rsidP="00022A25">
            <w:pPr>
              <w:spacing w:after="240"/>
              <w:rPr>
                <w:rFonts w:eastAsia="Times New Roman" w:cstheme="minorHAnsi"/>
                <w:snapToGrid w:val="0"/>
                <w:sz w:val="24"/>
                <w:szCs w:val="24"/>
              </w:rPr>
            </w:pPr>
            <w:r w:rsidRPr="00E42994">
              <w:rPr>
                <w:rFonts w:eastAsia="Times New Roman" w:cstheme="minorHAnsi"/>
                <w:snapToGrid w:val="0"/>
                <w:sz w:val="24"/>
                <w:szCs w:val="24"/>
              </w:rPr>
              <w:t xml:space="preserve">Дефиницията включва и продукти от следните производства преди индустриалната преработка на дървесината </w:t>
            </w:r>
          </w:p>
          <w:p w:rsidR="006932EA" w:rsidRPr="00E42994" w:rsidRDefault="006932EA" w:rsidP="00022A25">
            <w:pPr>
              <w:numPr>
                <w:ilvl w:val="0"/>
                <w:numId w:val="2"/>
              </w:numPr>
              <w:spacing w:before="240"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022A25">
            <w:pPr>
              <w:numPr>
                <w:ilvl w:val="0"/>
                <w:numId w:val="2"/>
              </w:numPr>
              <w:spacing w:after="240" w:line="240" w:lineRule="auto"/>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19069B" w:rsidRPr="008E4D35" w:rsidTr="007E18D5">
        <w:tc>
          <w:tcPr>
            <w:tcW w:w="2085" w:type="dxa"/>
            <w:shd w:val="clear" w:color="auto" w:fill="E6E6E6"/>
          </w:tcPr>
          <w:p w:rsidR="0019069B" w:rsidRPr="008E4D35" w:rsidRDefault="0019069B"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7203" w:type="dxa"/>
            <w:shd w:val="clear" w:color="auto" w:fill="F3F3F3"/>
          </w:tcPr>
          <w:p w:rsidR="0019069B" w:rsidRPr="008E4D35" w:rsidRDefault="0019069B"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207A2E" w:rsidRPr="008E4D35" w:rsidTr="007E18D5">
        <w:tc>
          <w:tcPr>
            <w:tcW w:w="2085" w:type="dxa"/>
            <w:shd w:val="clear" w:color="auto" w:fill="E6E6E6"/>
          </w:tcPr>
          <w:p w:rsidR="00207A2E" w:rsidRPr="008E4D35" w:rsidRDefault="005C6D27" w:rsidP="005C6D27">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Административен д</w:t>
            </w:r>
            <w:r w:rsidR="00207A2E" w:rsidRPr="008E4D35">
              <w:rPr>
                <w:rFonts w:eastAsia="Times New Roman" w:cstheme="minorHAnsi"/>
                <w:b/>
                <w:snapToGrid w:val="0"/>
                <w:sz w:val="24"/>
                <w:szCs w:val="24"/>
              </w:rPr>
              <w:t>оговор за безвъзмездна финансова помощ</w:t>
            </w:r>
          </w:p>
        </w:tc>
        <w:tc>
          <w:tcPr>
            <w:tcW w:w="7203" w:type="dxa"/>
            <w:shd w:val="clear" w:color="auto" w:fill="F3F3F3"/>
          </w:tcPr>
          <w:p w:rsidR="00207A2E" w:rsidRPr="005C6D27" w:rsidRDefault="005C6D27" w:rsidP="005C6D2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Административен договор </w:t>
            </w:r>
            <w:r w:rsidRPr="005C6D27">
              <w:rPr>
                <w:rFonts w:eastAsia="Times New Roman" w:cstheme="minorHAnsi"/>
                <w:snapToGrid w:val="0"/>
                <w:sz w:val="24"/>
                <w:szCs w:val="24"/>
                <w:lang w:val="x-none"/>
              </w:rPr>
              <w:t>е изрично во</w:t>
            </w:r>
            <w:r w:rsidR="00D91DD2">
              <w:rPr>
                <w:rFonts w:eastAsia="Times New Roman" w:cstheme="minorHAnsi"/>
                <w:snapToGrid w:val="0"/>
                <w:sz w:val="24"/>
                <w:szCs w:val="24"/>
                <w:lang w:val="x-none"/>
              </w:rPr>
              <w:t xml:space="preserve">леизявление на ръководителя на </w:t>
            </w:r>
            <w:r w:rsidR="00D91DD2">
              <w:rPr>
                <w:rFonts w:eastAsia="Times New Roman" w:cstheme="minorHAnsi"/>
                <w:snapToGrid w:val="0"/>
                <w:sz w:val="24"/>
                <w:szCs w:val="24"/>
              </w:rPr>
              <w:t>У</w:t>
            </w:r>
            <w:proofErr w:type="spellStart"/>
            <w:r w:rsidRPr="005C6D27">
              <w:rPr>
                <w:rFonts w:eastAsia="Times New Roman" w:cstheme="minorHAnsi"/>
                <w:snapToGrid w:val="0"/>
                <w:sz w:val="24"/>
                <w:szCs w:val="24"/>
                <w:lang w:val="x-none"/>
              </w:rPr>
              <w:t>правляващия</w:t>
            </w:r>
            <w:proofErr w:type="spellEnd"/>
            <w:r w:rsidRPr="005C6D27">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w:t>
            </w:r>
            <w:r w:rsidR="00D91DD2">
              <w:rPr>
                <w:rFonts w:eastAsia="Times New Roman" w:cstheme="minorHAnsi"/>
                <w:snapToGrid w:val="0"/>
                <w:sz w:val="24"/>
                <w:szCs w:val="24"/>
                <w:lang w:val="x-none"/>
              </w:rPr>
              <w:t xml:space="preserve">азумение между ръководителя на </w:t>
            </w:r>
            <w:r w:rsidR="00D91DD2">
              <w:rPr>
                <w:rFonts w:eastAsia="Times New Roman" w:cstheme="minorHAnsi"/>
                <w:snapToGrid w:val="0"/>
                <w:sz w:val="24"/>
                <w:szCs w:val="24"/>
              </w:rPr>
              <w:t>У</w:t>
            </w:r>
            <w:proofErr w:type="spellStart"/>
            <w:r w:rsidRPr="005C6D27">
              <w:rPr>
                <w:rFonts w:eastAsia="Times New Roman" w:cstheme="minorHAnsi"/>
                <w:snapToGrid w:val="0"/>
                <w:sz w:val="24"/>
                <w:szCs w:val="24"/>
                <w:lang w:val="x-none"/>
              </w:rPr>
              <w:t>правляващия</w:t>
            </w:r>
            <w:proofErr w:type="spellEnd"/>
            <w:r w:rsidRPr="005C6D27">
              <w:rPr>
                <w:rFonts w:eastAsia="Times New Roman" w:cstheme="minorHAnsi"/>
                <w:snapToGrid w:val="0"/>
                <w:sz w:val="24"/>
                <w:szCs w:val="24"/>
                <w:lang w:val="x-none"/>
              </w:rPr>
              <w:t xml:space="preserve"> орган и бенефициента, заместващо изд</w:t>
            </w:r>
            <w:r>
              <w:rPr>
                <w:rFonts w:eastAsia="Times New Roman" w:cstheme="minorHAnsi"/>
                <w:snapToGrid w:val="0"/>
                <w:sz w:val="24"/>
                <w:szCs w:val="24"/>
                <w:lang w:val="x-none"/>
              </w:rPr>
              <w:t>аването на административен акт.</w:t>
            </w:r>
          </w:p>
        </w:tc>
      </w:tr>
      <w:tr w:rsidR="000C4C0C" w:rsidRPr="008E4D35" w:rsidTr="007E18D5">
        <w:tc>
          <w:tcPr>
            <w:tcW w:w="2085" w:type="dxa"/>
            <w:shd w:val="clear" w:color="auto" w:fill="E6E6E6"/>
          </w:tcPr>
          <w:p w:rsidR="000C4C0C" w:rsidRPr="008E4D35" w:rsidRDefault="004A221D" w:rsidP="00DC3BB0">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Е</w:t>
            </w:r>
            <w:r w:rsidRPr="004A221D">
              <w:rPr>
                <w:rFonts w:eastAsia="Times New Roman" w:cstheme="minorHAnsi"/>
                <w:b/>
                <w:snapToGrid w:val="0"/>
                <w:sz w:val="24"/>
                <w:szCs w:val="24"/>
              </w:rPr>
              <w:t>дно и също предприятие</w:t>
            </w:r>
          </w:p>
        </w:tc>
        <w:tc>
          <w:tcPr>
            <w:tcW w:w="7203" w:type="dxa"/>
            <w:shd w:val="clear" w:color="auto" w:fill="F3F3F3"/>
          </w:tcPr>
          <w:p w:rsidR="004A221D" w:rsidRPr="004A221D" w:rsidRDefault="00954573" w:rsidP="004A221D">
            <w:pPr>
              <w:spacing w:before="60" w:after="60" w:line="240" w:lineRule="auto"/>
              <w:jc w:val="both"/>
              <w:rPr>
                <w:rFonts w:eastAsia="Times New Roman" w:cstheme="minorHAnsi"/>
                <w:snapToGrid w:val="0"/>
                <w:sz w:val="24"/>
                <w:szCs w:val="24"/>
              </w:rPr>
            </w:pPr>
            <w:r>
              <w:rPr>
                <w:rFonts w:ascii="Calibri" w:eastAsia="Calibri" w:hAnsi="Calibri" w:cs="Times New Roman"/>
                <w:bCs/>
                <w:sz w:val="24"/>
                <w:szCs w:val="24"/>
              </w:rPr>
              <w:t xml:space="preserve">Съгласно </w:t>
            </w:r>
            <w:r w:rsidRPr="00954573">
              <w:rPr>
                <w:rFonts w:ascii="Calibri" w:eastAsia="Calibri" w:hAnsi="Calibri" w:cs="Times New Roman"/>
                <w:bCs/>
                <w:sz w:val="24"/>
                <w:szCs w:val="24"/>
              </w:rPr>
              <w:t>чл. 2, пар. 2 на Регламент (ЕС) № 1407/2013</w:t>
            </w:r>
            <w:r>
              <w:rPr>
                <w:rFonts w:ascii="Calibri" w:eastAsia="Calibri" w:hAnsi="Calibri" w:cs="Times New Roman"/>
                <w:bCs/>
                <w:sz w:val="24"/>
                <w:szCs w:val="24"/>
              </w:rPr>
              <w:t xml:space="preserve"> </w:t>
            </w:r>
            <w:r>
              <w:rPr>
                <w:rFonts w:eastAsia="Times New Roman" w:cstheme="minorHAnsi"/>
                <w:snapToGrid w:val="0"/>
                <w:sz w:val="24"/>
                <w:szCs w:val="24"/>
              </w:rPr>
              <w:t xml:space="preserve">„едно и също предприятие“ </w:t>
            </w:r>
            <w:r w:rsidR="004A221D" w:rsidRPr="004A221D">
              <w:rPr>
                <w:rFonts w:eastAsia="Times New Roman" w:cstheme="minorHAnsi"/>
                <w:snapToGrid w:val="0"/>
                <w:sz w:val="24"/>
                <w:szCs w:val="24"/>
              </w:rPr>
              <w:t xml:space="preserve">означава всички предприятия, които поддържат помежду си поне един вид от следните взаимоотношения: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б) дадено предприятие има право да назначава или отстранява </w:t>
            </w:r>
            <w:r w:rsidRPr="004A221D">
              <w:rPr>
                <w:rFonts w:eastAsia="Times New Roman" w:cstheme="minorHAnsi"/>
                <w:snapToGrid w:val="0"/>
                <w:sz w:val="24"/>
                <w:szCs w:val="24"/>
              </w:rPr>
              <w:lastRenderedPageBreak/>
              <w:t xml:space="preserve">мнозинството от членовете на административния, управителния или надзорния орган на друго предприятие;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954573" w:rsidRDefault="004A221D" w:rsidP="0095457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0C4C0C" w:rsidRPr="008E4D35" w:rsidRDefault="004A221D" w:rsidP="00D47C85">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Предприятия, поддър</w:t>
            </w:r>
            <w:r w:rsidR="00D47C85">
              <w:rPr>
                <w:rFonts w:eastAsia="Times New Roman" w:cstheme="minorHAnsi"/>
                <w:snapToGrid w:val="0"/>
                <w:sz w:val="24"/>
                <w:szCs w:val="24"/>
              </w:rPr>
              <w:t>жащи едно от взаимоотношенията по букви а) - г)</w:t>
            </w:r>
            <w:r w:rsidRPr="004A221D">
              <w:rPr>
                <w:rFonts w:eastAsia="Times New Roman" w:cstheme="minorHAnsi"/>
                <w:snapToGrid w:val="0"/>
                <w:sz w:val="24"/>
                <w:szCs w:val="24"/>
              </w:rPr>
              <w:t xml:space="preserve"> посредством едно или</w:t>
            </w:r>
            <w:r w:rsidR="00D47C85">
              <w:rPr>
                <w:rFonts w:eastAsia="Times New Roman" w:cstheme="minorHAnsi"/>
                <w:snapToGrid w:val="0"/>
                <w:sz w:val="24"/>
                <w:szCs w:val="24"/>
              </w:rPr>
              <w:t xml:space="preserve"> </w:t>
            </w:r>
            <w:r w:rsidR="00D47C85" w:rsidRPr="00D47C85">
              <w:rPr>
                <w:rFonts w:eastAsia="Times New Roman" w:cstheme="minorHAnsi"/>
                <w:snapToGrid w:val="0"/>
                <w:sz w:val="24"/>
                <w:szCs w:val="24"/>
              </w:rPr>
              <w:t>няколко други предприятия, също се разглеждат като едно и също предприятие.</w:t>
            </w:r>
          </w:p>
        </w:tc>
      </w:tr>
      <w:tr w:rsidR="00BF171D" w:rsidRPr="008E4D35" w:rsidTr="007E18D5">
        <w:tc>
          <w:tcPr>
            <w:tcW w:w="2085" w:type="dxa"/>
            <w:shd w:val="clear" w:color="auto" w:fill="E6E6E6"/>
          </w:tcPr>
          <w:p w:rsidR="00BF171D" w:rsidRPr="008E4D35" w:rsidRDefault="00BF171D" w:rsidP="00DC3BB0">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Еко-иновация</w:t>
            </w:r>
          </w:p>
        </w:tc>
        <w:tc>
          <w:tcPr>
            <w:tcW w:w="7203" w:type="dxa"/>
            <w:shd w:val="clear" w:color="auto" w:fill="F3F3F3"/>
          </w:tcPr>
          <w:p w:rsidR="00BF171D" w:rsidRPr="008E4D35" w:rsidRDefault="00BF171D" w:rsidP="001B57E3">
            <w:pPr>
              <w:spacing w:before="100" w:beforeAutospacing="1" w:after="100" w:afterAutospacing="1" w:line="240" w:lineRule="auto"/>
              <w:jc w:val="both"/>
              <w:rPr>
                <w:rFonts w:eastAsia="Times New Roman" w:cstheme="minorHAnsi"/>
                <w:snapToGrid w:val="0"/>
                <w:sz w:val="24"/>
                <w:szCs w:val="24"/>
              </w:rPr>
            </w:pPr>
            <w:r w:rsidRPr="00BF171D">
              <w:rPr>
                <w:rFonts w:eastAsia="Times New Roman" w:cstheme="minorHAnsi"/>
                <w:snapToGrid w:val="0"/>
                <w:sz w:val="24"/>
                <w:szCs w:val="24"/>
              </w:rPr>
              <w:t>Еко-иновациите се определят като всяка форма на иновация, в резултат на която е налице, или е насочена към значителен и видим напредък към целта за устойчиво развитие чрез намаляване на въздействието върху околната среда, повишаване на устойчивостта към натиска върху околната среда или постигане на по-ефективно и отговорно използване на природните ресурси.</w:t>
            </w:r>
          </w:p>
        </w:tc>
      </w:tr>
      <w:tr w:rsidR="00207A2E" w:rsidRPr="008E4D35" w:rsidTr="007E18D5">
        <w:tc>
          <w:tcPr>
            <w:tcW w:w="2085" w:type="dxa"/>
            <w:shd w:val="clear" w:color="auto" w:fill="E6E6E6"/>
          </w:tcPr>
          <w:p w:rsidR="00207A2E" w:rsidRPr="00FB2FFF" w:rsidRDefault="00207A2E" w:rsidP="00021DCF">
            <w:pPr>
              <w:spacing w:before="100" w:beforeAutospacing="1" w:after="100" w:afterAutospacing="1" w:line="240" w:lineRule="auto"/>
              <w:rPr>
                <w:rFonts w:eastAsia="Times New Roman" w:cstheme="minorHAnsi"/>
                <w:b/>
                <w:snapToGrid w:val="0"/>
                <w:sz w:val="24"/>
                <w:szCs w:val="24"/>
              </w:rPr>
            </w:pPr>
            <w:r w:rsidRPr="00FB2FFF">
              <w:rPr>
                <w:rFonts w:eastAsia="Times New Roman" w:cstheme="minorHAnsi"/>
                <w:b/>
                <w:snapToGrid w:val="0"/>
                <w:sz w:val="24"/>
                <w:szCs w:val="24"/>
              </w:rPr>
              <w:t xml:space="preserve">Изпълнител, определен от страна на бенефициента </w:t>
            </w:r>
          </w:p>
        </w:tc>
        <w:tc>
          <w:tcPr>
            <w:tcW w:w="7203" w:type="dxa"/>
            <w:shd w:val="clear" w:color="auto" w:fill="F3F3F3"/>
          </w:tcPr>
          <w:p w:rsidR="00970420" w:rsidRPr="00FB2FFF" w:rsidRDefault="00207A2E" w:rsidP="00FB2FFF">
            <w:pPr>
              <w:spacing w:before="100" w:beforeAutospacing="1" w:after="100" w:afterAutospacing="1" w:line="240" w:lineRule="auto"/>
              <w:jc w:val="both"/>
              <w:rPr>
                <w:rFonts w:eastAsia="Times New Roman" w:cstheme="minorHAnsi"/>
                <w:snapToGrid w:val="0"/>
                <w:sz w:val="24"/>
                <w:szCs w:val="24"/>
              </w:rPr>
            </w:pPr>
            <w:r w:rsidRPr="00FB2FFF">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FB2FFF" w:rsidRPr="00FB2FFF">
              <w:rPr>
                <w:rFonts w:eastAsia="Times New Roman" w:cstheme="minorHAnsi"/>
                <w:snapToGrid w:val="0"/>
                <w:sz w:val="24"/>
                <w:szCs w:val="24"/>
              </w:rPr>
              <w:t xml:space="preserve"> </w:t>
            </w:r>
            <w:r w:rsidRPr="00FB2FFF">
              <w:rPr>
                <w:rFonts w:eastAsia="Times New Roman" w:cstheme="minorHAnsi"/>
                <w:snapToGrid w:val="0"/>
                <w:sz w:val="24"/>
                <w:szCs w:val="24"/>
              </w:rPr>
              <w:t xml:space="preserve">Изпълнителите от страна на бенефициента не са партньори и </w:t>
            </w:r>
            <w:r w:rsidR="00D772ED" w:rsidRPr="00FB2FFF">
              <w:rPr>
                <w:rFonts w:eastAsia="Times New Roman" w:cstheme="minorHAnsi"/>
                <w:snapToGrid w:val="0"/>
                <w:sz w:val="24"/>
                <w:szCs w:val="24"/>
              </w:rPr>
              <w:t xml:space="preserve">се определят </w:t>
            </w:r>
            <w:r w:rsidR="00970420" w:rsidRPr="00FB2FFF">
              <w:rPr>
                <w:rFonts w:eastAsia="Times New Roman" w:cstheme="minorHAnsi"/>
                <w:snapToGrid w:val="0"/>
                <w:sz w:val="24"/>
                <w:szCs w:val="24"/>
              </w:rPr>
              <w:t>в съответствие с</w:t>
            </w:r>
            <w:r w:rsidR="00D772ED" w:rsidRPr="00FB2FFF">
              <w:rPr>
                <w:rFonts w:eastAsia="Times New Roman" w:cstheme="minorHAnsi"/>
                <w:snapToGrid w:val="0"/>
                <w:sz w:val="24"/>
                <w:szCs w:val="24"/>
              </w:rPr>
              <w:t xml:space="preserve"> </w:t>
            </w:r>
            <w:r w:rsidR="00FB2FFF" w:rsidRPr="00FB2FFF">
              <w:rPr>
                <w:rFonts w:eastAsia="Times New Roman" w:cstheme="minorHAnsi"/>
                <w:snapToGrid w:val="0"/>
                <w:sz w:val="24"/>
                <w:szCs w:val="24"/>
              </w:rPr>
              <w:t>реда за определяне на изпълнител от страна на бенефициенти на договорена безвъзмездна финансова помощ от ЕСИФ</w:t>
            </w:r>
            <w:r w:rsidR="008F2DBC" w:rsidRPr="00FB2FFF">
              <w:rPr>
                <w:rFonts w:eastAsia="Times New Roman" w:cstheme="minorHAnsi"/>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w:t>
            </w:r>
            <w:r w:rsidR="00FB2FFF" w:rsidRPr="00FB2FFF">
              <w:rPr>
                <w:rFonts w:eastAsia="Times New Roman" w:cstheme="minorHAnsi"/>
                <w:snapToGrid w:val="0"/>
                <w:sz w:val="24"/>
                <w:szCs w:val="24"/>
              </w:rPr>
              <w:t>заложени в Ръководството за изпълнение на договори за безвъзмездна финансова помощ по ОПИК 2014-2020</w:t>
            </w:r>
            <w:r w:rsidR="008F2DBC" w:rsidRPr="00FB2FFF">
              <w:rPr>
                <w:rFonts w:eastAsia="Times New Roman" w:cstheme="minorHAnsi"/>
                <w:snapToGrid w:val="0"/>
                <w:sz w:val="24"/>
                <w:szCs w:val="24"/>
              </w:rPr>
              <w:t>.</w:t>
            </w:r>
          </w:p>
        </w:tc>
      </w:tr>
      <w:tr w:rsidR="00E80306" w:rsidRPr="008E4D35" w:rsidTr="007E18D5">
        <w:tc>
          <w:tcPr>
            <w:tcW w:w="2085" w:type="dxa"/>
            <w:shd w:val="clear" w:color="auto" w:fill="E6E6E6"/>
          </w:tcPr>
          <w:p w:rsidR="00E80306" w:rsidRPr="00045584" w:rsidRDefault="00E80306"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Иновация</w:t>
            </w:r>
          </w:p>
        </w:tc>
        <w:tc>
          <w:tcPr>
            <w:tcW w:w="7203" w:type="dxa"/>
            <w:shd w:val="clear" w:color="auto" w:fill="F3F3F3"/>
          </w:tcPr>
          <w:p w:rsidR="00E80306" w:rsidRPr="008E4D35" w:rsidRDefault="00785637" w:rsidP="008F2DBC">
            <w:pPr>
              <w:spacing w:before="100" w:beforeAutospacing="1" w:after="100" w:afterAutospacing="1" w:line="240" w:lineRule="auto"/>
              <w:jc w:val="both"/>
              <w:rPr>
                <w:rFonts w:eastAsia="Times New Roman" w:cstheme="minorHAnsi"/>
                <w:snapToGrid w:val="0"/>
                <w:sz w:val="24"/>
                <w:szCs w:val="24"/>
              </w:rPr>
            </w:pPr>
            <w:r w:rsidRPr="00785637">
              <w:rPr>
                <w:rFonts w:eastAsia="Times New Roman" w:cstheme="minorHAnsi"/>
                <w:snapToGrid w:val="0"/>
                <w:sz w:val="24"/>
                <w:szCs w:val="24"/>
              </w:rPr>
              <w:t>Съгласно Наръчника от Осло (Manuel d’Oslo 3e édition © OECD/EUROPEAN COMMUNITIES 2005) иновация е въвеждане в употреба на някакъв нов или значително подобрен продукт (стока или услуга) или производствен процес, на нов метод за маркетинг или на нов  организационен метод в търговската практика, организацията на работните места или външните връзки, които създават пазарни предимства и при това повишават конкурентоспособността  на фирмите</w:t>
            </w:r>
            <w:r>
              <w:rPr>
                <w:rFonts w:eastAsia="Times New Roman" w:cstheme="minorHAnsi"/>
                <w:snapToGrid w:val="0"/>
                <w:sz w:val="24"/>
                <w:szCs w:val="24"/>
              </w:rPr>
              <w:t>.</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7203" w:type="dxa"/>
            <w:shd w:val="clear" w:color="auto" w:fill="F3F3F3"/>
          </w:tcPr>
          <w:p w:rsidR="00502F9C" w:rsidRPr="008E4D35" w:rsidRDefault="00502F9C"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7203" w:type="dxa"/>
            <w:shd w:val="clear" w:color="auto" w:fill="F3F3F3"/>
          </w:tcPr>
          <w:p w:rsidR="00311D57" w:rsidRPr="008E4D35" w:rsidRDefault="00B00C99"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„М</w:t>
            </w:r>
            <w:r w:rsidR="00311D57" w:rsidRPr="00311D57">
              <w:rPr>
                <w:rFonts w:eastAsia="Times New Roman" w:cstheme="minorHAnsi"/>
                <w:snapToGrid w:val="0"/>
                <w:sz w:val="24"/>
                <w:szCs w:val="24"/>
              </w:rPr>
              <w:t xml:space="preserve">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p>
        </w:tc>
      </w:tr>
      <w:tr w:rsidR="00E80306" w:rsidRPr="008E4D35" w:rsidTr="007E18D5">
        <w:tc>
          <w:tcPr>
            <w:tcW w:w="2085" w:type="dxa"/>
            <w:shd w:val="clear" w:color="auto" w:fill="E6E6E6"/>
          </w:tcPr>
          <w:p w:rsidR="00E80306" w:rsidRDefault="00E80306" w:rsidP="00022A2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7203" w:type="dxa"/>
            <w:shd w:val="clear" w:color="auto" w:fill="F3F3F3"/>
          </w:tcPr>
          <w:p w:rsidR="00E80306" w:rsidRDefault="00E80306" w:rsidP="00022A25">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7203" w:type="dxa"/>
            <w:shd w:val="clear" w:color="auto" w:fill="F3F3F3"/>
          </w:tcPr>
          <w:p w:rsidR="00311D57" w:rsidRPr="007F75CF" w:rsidRDefault="00502F9C" w:rsidP="007F75CF">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„Нематериални активи“ </w:t>
            </w:r>
            <w:r w:rsidR="00831362" w:rsidRPr="00831362">
              <w:rPr>
                <w:rFonts w:eastAsia="Times New Roman" w:cstheme="minorHAnsi"/>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r w:rsidR="00311D57">
              <w:rPr>
                <w:rFonts w:eastAsia="Times New Roman" w:cstheme="minorHAnsi"/>
                <w:snapToGrid w:val="0"/>
                <w:sz w:val="24"/>
                <w:szCs w:val="24"/>
                <w:lang w:val="bg"/>
              </w:rPr>
              <w:t>.</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7203" w:type="dxa"/>
            <w:shd w:val="clear" w:color="auto" w:fill="F3F3F3"/>
          </w:tcPr>
          <w:p w:rsidR="0078029D" w:rsidRPr="008E4D35" w:rsidRDefault="00876B7B"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1B06" w:rsidRPr="008E4D35" w:rsidTr="007E18D5">
        <w:tc>
          <w:tcPr>
            <w:tcW w:w="2085" w:type="dxa"/>
            <w:shd w:val="clear" w:color="auto" w:fill="E6E6E6"/>
          </w:tcPr>
          <w:p w:rsidR="00311B06" w:rsidRPr="008E4D35" w:rsidRDefault="00311B06"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7203" w:type="dxa"/>
            <w:shd w:val="clear" w:color="auto" w:fill="F3F3F3"/>
          </w:tcPr>
          <w:p w:rsidR="00311B06" w:rsidRPr="008E4D35" w:rsidRDefault="00311B06"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C5289A" w:rsidRPr="008E4D35" w:rsidTr="007E18D5">
        <w:tc>
          <w:tcPr>
            <w:tcW w:w="2085" w:type="dxa"/>
            <w:shd w:val="clear" w:color="auto" w:fill="E6E6E6"/>
          </w:tcPr>
          <w:p w:rsidR="00C5289A" w:rsidRPr="008E4D35" w:rsidRDefault="00C5289A" w:rsidP="00DC3BB0">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Преработка на селскостопански продукти</w:t>
            </w:r>
          </w:p>
        </w:tc>
        <w:tc>
          <w:tcPr>
            <w:tcW w:w="7203" w:type="dxa"/>
            <w:shd w:val="clear" w:color="auto" w:fill="F3F3F3"/>
          </w:tcPr>
          <w:p w:rsidR="00D45B42" w:rsidRPr="008E4D35" w:rsidRDefault="00BF26B0" w:rsidP="0096011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BF26B0">
              <w:rPr>
                <w:rFonts w:eastAsia="Times New Roman" w:cstheme="minorHAnsi"/>
                <w:snapToGrid w:val="0"/>
                <w:sz w:val="24"/>
                <w:szCs w:val="24"/>
              </w:rPr>
              <w:t>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r>
              <w:rPr>
                <w:rFonts w:eastAsia="Times New Roman" w:cstheme="minorHAnsi"/>
                <w:snapToGrid w:val="0"/>
                <w:sz w:val="24"/>
                <w:szCs w:val="24"/>
              </w:rPr>
              <w:t>.</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7203" w:type="dxa"/>
            <w:shd w:val="clear" w:color="auto" w:fill="F3F3F3"/>
          </w:tcPr>
          <w:p w:rsidR="00EA1E54" w:rsidRPr="008E4D35" w:rsidRDefault="00EA1E54"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7203" w:type="dxa"/>
            <w:shd w:val="clear" w:color="auto" w:fill="F3F3F3"/>
          </w:tcPr>
          <w:p w:rsidR="00EA1E54" w:rsidRPr="008E4D35" w:rsidRDefault="00EA1E54"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7203" w:type="dxa"/>
            <w:shd w:val="clear" w:color="auto" w:fill="F3F3F3"/>
          </w:tcPr>
          <w:p w:rsidR="00BF26B0" w:rsidRPr="00DC24DC" w:rsidRDefault="00DC24DC" w:rsidP="00DC24DC">
            <w:pPr>
              <w:spacing w:before="100" w:beforeAutospacing="1" w:after="100" w:afterAutospacing="1" w:line="240" w:lineRule="auto"/>
              <w:jc w:val="both"/>
              <w:rPr>
                <w:rFonts w:eastAsia="Times New Roman" w:cstheme="minorHAnsi"/>
                <w:snapToGrid w:val="0"/>
                <w:sz w:val="24"/>
                <w:szCs w:val="24"/>
                <w:lang w:val="bg"/>
              </w:rPr>
            </w:pPr>
            <w:r>
              <w:rPr>
                <w:rFonts w:eastAsia="Times New Roman" w:cstheme="minorHAnsi"/>
                <w:snapToGrid w:val="0"/>
                <w:sz w:val="24"/>
                <w:szCs w:val="24"/>
                <w:lang w:val="bg"/>
              </w:rPr>
              <w:t>П</w:t>
            </w:r>
            <w:r w:rsidR="00294A6E" w:rsidRPr="00294A6E">
              <w:rPr>
                <w:rFonts w:eastAsia="Times New Roman" w:cstheme="minorHAnsi"/>
                <w:snapToGrid w:val="0"/>
                <w:sz w:val="24"/>
                <w:szCs w:val="24"/>
                <w:lang w:val="bg"/>
              </w:rPr>
              <w:t>роизводство на продукти на почвата и н</w:t>
            </w:r>
            <w:r w:rsidR="00617C0E">
              <w:rPr>
                <w:rFonts w:eastAsia="Times New Roman" w:cstheme="minorHAnsi"/>
                <w:snapToGrid w:val="0"/>
                <w:sz w:val="24"/>
                <w:szCs w:val="24"/>
                <w:lang w:val="bg"/>
              </w:rPr>
              <w:t>а животновъдството, изброени в п</w:t>
            </w:r>
            <w:r w:rsidR="00294A6E" w:rsidRPr="00294A6E">
              <w:rPr>
                <w:rFonts w:eastAsia="Times New Roman" w:cstheme="minorHAnsi"/>
                <w:snapToGrid w:val="0"/>
                <w:sz w:val="24"/>
                <w:szCs w:val="24"/>
                <w:lang w:val="bg"/>
              </w:rPr>
              <w:t xml:space="preserve">риложение </w:t>
            </w:r>
            <w:r w:rsidR="00294A6E" w:rsidRPr="00294A6E">
              <w:rPr>
                <w:rFonts w:eastAsia="Times New Roman" w:cstheme="minorHAnsi"/>
                <w:snapToGrid w:val="0"/>
                <w:sz w:val="24"/>
                <w:szCs w:val="24"/>
                <w:lang w:val="en-US"/>
              </w:rPr>
              <w:t xml:space="preserve">I </w:t>
            </w:r>
            <w:r w:rsidR="00294A6E" w:rsidRPr="00294A6E">
              <w:rPr>
                <w:rFonts w:eastAsia="Times New Roman" w:cstheme="minorHAnsi"/>
                <w:snapToGrid w:val="0"/>
                <w:sz w:val="24"/>
                <w:szCs w:val="24"/>
                <w:lang w:val="bg"/>
              </w:rPr>
              <w:t xml:space="preserve">към Договора, без да се извършват никакви по-нататъшни операции, с които се променя естеството на </w:t>
            </w:r>
            <w:r w:rsidR="00294A6E" w:rsidRPr="00294A6E">
              <w:rPr>
                <w:rFonts w:eastAsia="Times New Roman" w:cstheme="minorHAnsi"/>
                <w:snapToGrid w:val="0"/>
                <w:sz w:val="24"/>
                <w:szCs w:val="24"/>
                <w:lang w:val="bg"/>
              </w:rPr>
              <w:lastRenderedPageBreak/>
              <w:t>тези продукти.</w:t>
            </w:r>
          </w:p>
        </w:tc>
      </w:tr>
      <w:tr w:rsidR="00EA1E54" w:rsidRPr="008E4D35" w:rsidTr="007E18D5">
        <w:tc>
          <w:tcPr>
            <w:tcW w:w="2085" w:type="dxa"/>
            <w:shd w:val="clear" w:color="auto" w:fill="E6E6E6"/>
          </w:tcPr>
          <w:p w:rsidR="00EA1E54" w:rsidRPr="008E4D35" w:rsidRDefault="00EA1E54" w:rsidP="00A32D97">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 xml:space="preserve">Ръководител на </w:t>
            </w:r>
            <w:r w:rsidR="00A32D97">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7203" w:type="dxa"/>
            <w:shd w:val="clear" w:color="auto" w:fill="F3F3F3"/>
          </w:tcPr>
          <w:p w:rsidR="00EA1E54" w:rsidRPr="008E4D35" w:rsidRDefault="00EA1E54" w:rsidP="00A32D9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Ръководителят на администрацията, в рамките на чиято структура се намира </w:t>
            </w:r>
            <w:r w:rsidR="00A32D97">
              <w:rPr>
                <w:rFonts w:eastAsia="Times New Roman" w:cstheme="minorHAnsi"/>
                <w:snapToGrid w:val="0"/>
                <w:sz w:val="24"/>
                <w:szCs w:val="24"/>
              </w:rPr>
              <w:t>Управляващия</w:t>
            </w:r>
            <w:r w:rsidRPr="008E4D35">
              <w:rPr>
                <w:rFonts w:eastAsia="Times New Roman" w:cstheme="minorHAnsi"/>
                <w:snapToGrid w:val="0"/>
                <w:sz w:val="24"/>
                <w:szCs w:val="24"/>
              </w:rPr>
              <w:t xml:space="preserve"> орган или упълномощеното от него длъжностно лице.</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Свързани лица</w:t>
            </w:r>
          </w:p>
        </w:tc>
        <w:tc>
          <w:tcPr>
            <w:tcW w:w="7203" w:type="dxa"/>
            <w:shd w:val="clear" w:color="auto" w:fill="F3F3F3"/>
          </w:tcPr>
          <w:p w:rsidR="00EA1E54" w:rsidRPr="008E4D35" w:rsidRDefault="000E43C4"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0E43C4">
              <w:rPr>
                <w:rFonts w:eastAsia="Times New Roman" w:cstheme="minorHAnsi"/>
                <w:snapToGrid w:val="0"/>
                <w:sz w:val="24"/>
                <w:szCs w:val="24"/>
              </w:rPr>
              <w:t>ъпрузите или лицата, които се намират във фактическо съжителство, роднините по права линия, по съребрена линия - до четвърта степен включително, и роднините по сватовство - до втора степен включително, както и физически и юридически лица, с които лицето, заемащо публична длъжност, се намира в икономически или политически зависимости, които пораждат основателни съмнения в неговата безпристрастност и обективност.</w:t>
            </w:r>
          </w:p>
        </w:tc>
      </w:tr>
      <w:tr w:rsidR="00DC24DC" w:rsidRPr="008E4D35" w:rsidTr="007E18D5">
        <w:tc>
          <w:tcPr>
            <w:tcW w:w="2085" w:type="dxa"/>
            <w:shd w:val="clear" w:color="auto" w:fill="E6E6E6"/>
          </w:tcPr>
          <w:p w:rsidR="00DC24DC" w:rsidRPr="008E4D35" w:rsidRDefault="00DC24DC" w:rsidP="00DC3BB0">
            <w:pPr>
              <w:spacing w:before="100" w:beforeAutospacing="1" w:after="100" w:afterAutospacing="1" w:line="240" w:lineRule="auto"/>
              <w:rPr>
                <w:rFonts w:eastAsia="Times New Roman" w:cstheme="minorHAnsi"/>
                <w:b/>
                <w:snapToGrid w:val="0"/>
                <w:sz w:val="24"/>
                <w:szCs w:val="24"/>
              </w:rPr>
            </w:pPr>
            <w:r w:rsidRPr="00DC24DC">
              <w:rPr>
                <w:rFonts w:eastAsia="Times New Roman" w:cstheme="minorHAnsi"/>
                <w:b/>
                <w:snapToGrid w:val="0"/>
                <w:sz w:val="24"/>
                <w:szCs w:val="24"/>
              </w:rPr>
              <w:t>Селскостопански продукти</w:t>
            </w:r>
          </w:p>
        </w:tc>
        <w:tc>
          <w:tcPr>
            <w:tcW w:w="7203" w:type="dxa"/>
            <w:shd w:val="clear" w:color="auto" w:fill="F3F3F3"/>
          </w:tcPr>
          <w:p w:rsidR="00DC24DC" w:rsidRDefault="00617C0E"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П</w:t>
            </w:r>
            <w:r w:rsidR="00DC24DC" w:rsidRPr="00DC24DC">
              <w:rPr>
                <w:rFonts w:eastAsia="Times New Roman" w:cstheme="minorHAnsi"/>
                <w:snapToGrid w:val="0"/>
                <w:sz w:val="24"/>
                <w:szCs w:val="24"/>
              </w:rPr>
              <w:t>родукти, изброени в приложение I към Договора, с изключение на продуктите на рибарството и аквакултурите, включени в приложното по</w:t>
            </w:r>
            <w:r>
              <w:rPr>
                <w:rFonts w:eastAsia="Times New Roman" w:cstheme="minorHAnsi"/>
                <w:snapToGrid w:val="0"/>
                <w:sz w:val="24"/>
                <w:szCs w:val="24"/>
              </w:rPr>
              <w:t>ле на Регламент (ЕО) № 104/2000.</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2A6026">
              <w:rPr>
                <w:rFonts w:eastAsia="Times New Roman" w:cstheme="minorHAnsi"/>
                <w:b/>
                <w:snapToGrid w:val="0"/>
                <w:sz w:val="24"/>
                <w:szCs w:val="24"/>
              </w:rPr>
              <w:t>Транспортни средства</w:t>
            </w:r>
          </w:p>
        </w:tc>
        <w:tc>
          <w:tcPr>
            <w:tcW w:w="7203" w:type="dxa"/>
            <w:shd w:val="clear" w:color="auto" w:fill="F3F3F3"/>
          </w:tcPr>
          <w:p w:rsidR="002A6026" w:rsidRPr="002A6026" w:rsidRDefault="002A6026" w:rsidP="002A6026">
            <w:pPr>
              <w:pStyle w:val="a7"/>
              <w:spacing w:after="60"/>
              <w:jc w:val="both"/>
              <w:rPr>
                <w:sz w:val="24"/>
                <w:szCs w:val="24"/>
              </w:rPr>
            </w:pPr>
            <w:r>
              <w:rPr>
                <w:sz w:val="24"/>
                <w:szCs w:val="24"/>
              </w:rPr>
              <w:t>В</w:t>
            </w:r>
            <w:r w:rsidRPr="002A6026">
              <w:rPr>
                <w:sz w:val="24"/>
                <w:szCs w:val="24"/>
              </w:rPr>
              <w:t>ключва следните дефиниции:</w:t>
            </w:r>
          </w:p>
          <w:p w:rsidR="002A6026" w:rsidRPr="002A6026" w:rsidRDefault="002A6026" w:rsidP="002A6026">
            <w:pPr>
              <w:pStyle w:val="a7"/>
              <w:spacing w:after="60"/>
              <w:jc w:val="both"/>
              <w:rPr>
                <w:sz w:val="24"/>
                <w:szCs w:val="24"/>
              </w:rPr>
            </w:pPr>
            <w:r w:rsidRPr="002A6026">
              <w:rPr>
                <w:sz w:val="24"/>
                <w:szCs w:val="24"/>
              </w:rPr>
              <w:t xml:space="preserve"> - </w:t>
            </w:r>
            <w:r w:rsidRPr="002A6026">
              <w:rPr>
                <w:i/>
                <w:sz w:val="24"/>
                <w:szCs w:val="24"/>
              </w:rPr>
              <w:t>Съгласно Закона за движението по пътищата:</w:t>
            </w:r>
          </w:p>
          <w:p w:rsidR="002A6026" w:rsidRPr="002A6026" w:rsidRDefault="002A6026" w:rsidP="002A6026">
            <w:pPr>
              <w:pStyle w:val="a7"/>
              <w:spacing w:after="60"/>
              <w:jc w:val="both"/>
              <w:rPr>
                <w:sz w:val="24"/>
                <w:szCs w:val="24"/>
              </w:rPr>
            </w:pPr>
            <w:r w:rsidRPr="002A6026">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2A6026" w:rsidRPr="002A6026" w:rsidRDefault="002A6026" w:rsidP="002A6026">
            <w:pPr>
              <w:pStyle w:val="a7"/>
              <w:spacing w:after="60"/>
              <w:jc w:val="both"/>
              <w:rPr>
                <w:sz w:val="24"/>
                <w:szCs w:val="24"/>
              </w:rPr>
            </w:pPr>
            <w:r w:rsidRPr="002A6026">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2A6026" w:rsidRPr="002A6026" w:rsidRDefault="002A6026" w:rsidP="002A6026">
            <w:pPr>
              <w:pStyle w:val="a7"/>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2A6026" w:rsidRPr="002A6026" w:rsidRDefault="002A6026" w:rsidP="002A6026">
            <w:pPr>
              <w:pStyle w:val="a7"/>
              <w:spacing w:after="60"/>
              <w:jc w:val="both"/>
              <w:rPr>
                <w:i/>
                <w:sz w:val="24"/>
                <w:szCs w:val="24"/>
              </w:rPr>
            </w:pPr>
            <w:r w:rsidRPr="002A6026">
              <w:rPr>
                <w:sz w:val="24"/>
                <w:szCs w:val="24"/>
              </w:rPr>
              <w:t xml:space="preserve">- </w:t>
            </w:r>
            <w:r w:rsidRPr="002A6026">
              <w:rPr>
                <w:i/>
                <w:sz w:val="24"/>
                <w:szCs w:val="24"/>
              </w:rPr>
              <w:t>Съгласно Закона за гражданското въздухоплаване:</w:t>
            </w:r>
          </w:p>
          <w:p w:rsidR="002A6026" w:rsidRPr="002A6026" w:rsidRDefault="002A6026" w:rsidP="002A6026">
            <w:pPr>
              <w:pStyle w:val="a7"/>
              <w:spacing w:after="60"/>
              <w:jc w:val="both"/>
              <w:rPr>
                <w:sz w:val="24"/>
                <w:szCs w:val="24"/>
              </w:rPr>
            </w:pPr>
            <w:r w:rsidRPr="002A6026">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A6026" w:rsidRPr="002A6026" w:rsidRDefault="002A6026" w:rsidP="002A6026">
            <w:pPr>
              <w:pStyle w:val="a7"/>
              <w:spacing w:after="60"/>
              <w:jc w:val="both"/>
              <w:rPr>
                <w:sz w:val="24"/>
                <w:szCs w:val="24"/>
              </w:rPr>
            </w:pPr>
            <w:r w:rsidRPr="002A6026">
              <w:rPr>
                <w:sz w:val="24"/>
                <w:szCs w:val="24"/>
              </w:rPr>
              <w:t xml:space="preserve"> - </w:t>
            </w:r>
            <w:r w:rsidRPr="002A6026">
              <w:rPr>
                <w:i/>
                <w:sz w:val="24"/>
                <w:szCs w:val="24"/>
              </w:rPr>
              <w:t>Съгласно Закона за железопътния транспорт:</w:t>
            </w:r>
          </w:p>
          <w:p w:rsidR="002A6026" w:rsidRPr="002A6026" w:rsidRDefault="002A6026" w:rsidP="002A6026">
            <w:pPr>
              <w:pStyle w:val="a7"/>
              <w:spacing w:after="60"/>
              <w:jc w:val="both"/>
              <w:rPr>
                <w:sz w:val="24"/>
                <w:szCs w:val="24"/>
              </w:rPr>
            </w:pPr>
            <w:r w:rsidRPr="002A6026">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w:t>
            </w:r>
            <w:r w:rsidRPr="002A6026">
              <w:rPr>
                <w:sz w:val="24"/>
                <w:szCs w:val="24"/>
              </w:rPr>
              <w:lastRenderedPageBreak/>
              <w:t>на междугарие, се смятат за влакове.</w:t>
            </w:r>
          </w:p>
          <w:p w:rsidR="002A6026" w:rsidRPr="002A6026" w:rsidRDefault="002A6026" w:rsidP="002A6026">
            <w:pPr>
              <w:pStyle w:val="a7"/>
              <w:spacing w:after="60"/>
              <w:jc w:val="both"/>
              <w:rPr>
                <w:sz w:val="24"/>
                <w:szCs w:val="24"/>
              </w:rPr>
            </w:pPr>
            <w:r w:rsidRPr="002A6026">
              <w:rPr>
                <w:sz w:val="24"/>
                <w:szCs w:val="24"/>
              </w:rPr>
              <w:t xml:space="preserve"> - </w:t>
            </w:r>
            <w:r w:rsidRPr="002A6026">
              <w:rPr>
                <w:i/>
                <w:sz w:val="24"/>
                <w:szCs w:val="24"/>
              </w:rPr>
              <w:t>Съгласно Закона за морските пространства, вътрешните водни пътища и пристанищата на Република България:</w:t>
            </w:r>
          </w:p>
          <w:p w:rsidR="002A6026" w:rsidRPr="002A6026" w:rsidRDefault="002A6026" w:rsidP="002A6026">
            <w:pPr>
              <w:pStyle w:val="a7"/>
              <w:spacing w:after="60"/>
              <w:jc w:val="both"/>
              <w:rPr>
                <w:sz w:val="24"/>
                <w:szCs w:val="24"/>
              </w:rPr>
            </w:pPr>
            <w:r w:rsidRPr="002A6026">
              <w:rPr>
                <w:sz w:val="24"/>
                <w:szCs w:val="24"/>
              </w:rPr>
              <w:t>1. „Яхта”  е кораб, използван за туризъм, спорт, спортен риболов или развлечение.</w:t>
            </w:r>
          </w:p>
          <w:p w:rsidR="00EA1E54" w:rsidRPr="002A6026" w:rsidRDefault="002A6026" w:rsidP="002A6026">
            <w:pPr>
              <w:pStyle w:val="a7"/>
              <w:spacing w:after="60"/>
              <w:jc w:val="both"/>
              <w:rPr>
                <w:lang w:val="en-US"/>
              </w:rPr>
            </w:pPr>
            <w:r w:rsidRPr="002A6026">
              <w:rPr>
                <w:sz w:val="24"/>
                <w:szCs w:val="24"/>
              </w:rPr>
              <w:t>2. „Кораб</w:t>
            </w:r>
            <w:r w:rsidRPr="002A6026">
              <w:rPr>
                <w:bCs/>
                <w:sz w:val="24"/>
                <w:szCs w:val="24"/>
              </w:rPr>
              <w:t>”</w:t>
            </w:r>
            <w:r w:rsidRPr="002A6026">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A1E54" w:rsidRPr="008E4D35" w:rsidTr="007E18D5">
        <w:tc>
          <w:tcPr>
            <w:tcW w:w="2085" w:type="dxa"/>
            <w:shd w:val="clear" w:color="auto" w:fill="E6E6E6"/>
          </w:tcPr>
          <w:p w:rsidR="00EA1E54" w:rsidRPr="00D86C4E" w:rsidRDefault="00EA1E54" w:rsidP="00DC3BB0">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r w:rsidR="00D86C4E">
              <w:rPr>
                <w:rFonts w:eastAsia="Times New Roman" w:cstheme="minorHAnsi"/>
                <w:b/>
                <w:snapToGrid w:val="0"/>
                <w:sz w:val="24"/>
                <w:szCs w:val="24"/>
              </w:rPr>
              <w:t>и</w:t>
            </w:r>
          </w:p>
        </w:tc>
        <w:tc>
          <w:tcPr>
            <w:tcW w:w="7203" w:type="dxa"/>
            <w:shd w:val="clear" w:color="auto" w:fill="F3F3F3"/>
          </w:tcPr>
          <w:p w:rsidR="00D86C4E" w:rsidRPr="008E4D35" w:rsidRDefault="00D86C4E" w:rsidP="00F0518A">
            <w:pPr>
              <w:spacing w:after="120" w:line="240" w:lineRule="auto"/>
              <w:jc w:val="both"/>
              <w:rPr>
                <w:rFonts w:eastAsia="Times New Roman" w:cstheme="minorHAnsi"/>
                <w:snapToGrid w:val="0"/>
                <w:sz w:val="24"/>
                <w:szCs w:val="24"/>
              </w:rPr>
            </w:pPr>
            <w:r>
              <w:rPr>
                <w:rFonts w:eastAsia="Times New Roman" w:cstheme="minorHAnsi"/>
                <w:snapToGrid w:val="0"/>
                <w:sz w:val="24"/>
                <w:szCs w:val="24"/>
              </w:rPr>
              <w:t>П</w:t>
            </w:r>
            <w:r w:rsidRPr="00D86C4E">
              <w:rPr>
                <w:rFonts w:eastAsia="Times New Roman" w:cstheme="minorHAnsi"/>
                <w:snapToGrid w:val="0"/>
                <w:sz w:val="24"/>
                <w:szCs w:val="24"/>
              </w:rPr>
              <w:t>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tc>
      </w:tr>
      <w:tr w:rsidR="006D243B" w:rsidRPr="008E4D35" w:rsidTr="007E18D5">
        <w:tc>
          <w:tcPr>
            <w:tcW w:w="2085" w:type="dxa"/>
            <w:shd w:val="clear" w:color="auto" w:fill="E6E6E6"/>
          </w:tcPr>
          <w:p w:rsidR="006D243B" w:rsidRDefault="006D243B" w:rsidP="006D243B">
            <w:pPr>
              <w:spacing w:before="100" w:beforeAutospacing="1" w:after="100" w:afterAutospacing="1" w:line="240" w:lineRule="auto"/>
              <w:rPr>
                <w:rFonts w:eastAsia="Times New Roman" w:cstheme="minorHAnsi"/>
                <w:b/>
                <w:snapToGrid w:val="0"/>
                <w:sz w:val="24"/>
                <w:szCs w:val="24"/>
              </w:rPr>
            </w:pPr>
            <w:r w:rsidRPr="00071A1D">
              <w:rPr>
                <w:rFonts w:eastAsia="Times New Roman" w:cstheme="minorHAnsi"/>
                <w:b/>
                <w:snapToGrid w:val="0"/>
                <w:sz w:val="24"/>
                <w:szCs w:val="24"/>
              </w:rPr>
              <w:t>Условия при придобиване на дълготрайния актив чрез лизинг по чл. 19, ал. 1 и ал. 3 от ПМС</w:t>
            </w:r>
            <w:r>
              <w:rPr>
                <w:rFonts w:eastAsia="Times New Roman" w:cstheme="minorHAnsi"/>
                <w:b/>
                <w:snapToGrid w:val="0"/>
                <w:sz w:val="24"/>
                <w:szCs w:val="24"/>
              </w:rPr>
              <w:t xml:space="preserve"> №119/2014 г.</w:t>
            </w:r>
          </w:p>
        </w:tc>
        <w:tc>
          <w:tcPr>
            <w:tcW w:w="7203" w:type="dxa"/>
            <w:shd w:val="clear" w:color="auto" w:fill="F3F3F3"/>
          </w:tcPr>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19. (1) Допустими разходи, извършени във връзка с лизингови операции, са единствено лизинговите вноски при спазване на следните изисквания:</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1. лизинговите вноски са дължими и платени до изтичане на срока за изпълнение на операцията, финансирана по оперативната програма;</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3. максималната допустима цена е по-ниска от пазарната цена за закупуване на актива.</w:t>
            </w:r>
          </w:p>
          <w:p w:rsidR="006D243B" w:rsidRPr="006D243B" w:rsidRDefault="006D243B" w:rsidP="006D243B">
            <w:pPr>
              <w:spacing w:after="0" w:line="240" w:lineRule="auto"/>
              <w:jc w:val="both"/>
              <w:rPr>
                <w:rFonts w:eastAsia="Times New Roman" w:cstheme="minorHAnsi"/>
                <w:snapToGrid w:val="0"/>
                <w:sz w:val="24"/>
                <w:szCs w:val="24"/>
              </w:rPr>
            </w:pPr>
            <w:r>
              <w:rPr>
                <w:rFonts w:eastAsia="Times New Roman" w:cstheme="minorHAnsi"/>
                <w:snapToGrid w:val="0"/>
                <w:sz w:val="24"/>
                <w:szCs w:val="24"/>
              </w:rPr>
              <w:t>….</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lastRenderedPageBreak/>
              <w:t>1. пряк получател на финансирането от оперативната програма е лизингополучателят;</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3. по отношение на лизинговите договори финансовата подкрепа от оперативната програма се плаща на лизингополучателя на един или повече траншове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операцията,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rsid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условията на ал. 1, 2 и 3; в този случай разходите за придобиване на актива не са допустими за съфинансиране от оперативната програма.</w:t>
            </w:r>
          </w:p>
        </w:tc>
      </w:tr>
    </w:tbl>
    <w:p w:rsidR="00F56BC0" w:rsidRDefault="00F56BC0"/>
    <w:sectPr w:rsidR="00F56BC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5F8" w:rsidRDefault="00E735F8" w:rsidP="00364204">
      <w:pPr>
        <w:spacing w:after="0" w:line="240" w:lineRule="auto"/>
      </w:pPr>
      <w:r>
        <w:separator/>
      </w:r>
    </w:p>
  </w:endnote>
  <w:endnote w:type="continuationSeparator" w:id="0">
    <w:p w:rsidR="00E735F8" w:rsidRDefault="00E735F8"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5F8" w:rsidRDefault="00E735F8" w:rsidP="00364204">
      <w:pPr>
        <w:spacing w:after="0" w:line="240" w:lineRule="auto"/>
      </w:pPr>
      <w:r>
        <w:separator/>
      </w:r>
    </w:p>
  </w:footnote>
  <w:footnote w:type="continuationSeparator" w:id="0">
    <w:p w:rsidR="00E735F8" w:rsidRDefault="00E735F8"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59" w:type="dxa"/>
      <w:tblInd w:w="-38" w:type="dxa"/>
      <w:tblCellMar>
        <w:left w:w="70" w:type="dxa"/>
        <w:right w:w="70" w:type="dxa"/>
      </w:tblCellMar>
      <w:tblLook w:val="0000" w:firstRow="0" w:lastRow="0" w:firstColumn="0" w:lastColumn="0" w:noHBand="0" w:noVBand="0"/>
    </w:tblPr>
    <w:tblGrid>
      <w:gridCol w:w="447"/>
      <w:gridCol w:w="1533"/>
      <w:gridCol w:w="3260"/>
      <w:gridCol w:w="1842"/>
      <w:gridCol w:w="2127"/>
      <w:gridCol w:w="158"/>
      <w:gridCol w:w="146"/>
      <w:gridCol w:w="146"/>
    </w:tblGrid>
    <w:tr w:rsidR="008B2216" w:rsidRPr="008B2216" w:rsidTr="00FA5FAF">
      <w:trPr>
        <w:gridBefore w:val="1"/>
        <w:wBefore w:w="447" w:type="dxa"/>
        <w:trHeight w:val="684"/>
      </w:trPr>
      <w:tc>
        <w:tcPr>
          <w:tcW w:w="8920" w:type="dxa"/>
          <w:gridSpan w:val="5"/>
        </w:tcPr>
        <w:p w:rsidR="008B2216" w:rsidRPr="008B2216" w:rsidRDefault="008B2216" w:rsidP="008B2216">
          <w:pPr>
            <w:spacing w:after="160" w:line="259" w:lineRule="auto"/>
            <w:rPr>
              <w:rFonts w:ascii="Calibri" w:eastAsia="Calibri" w:hAnsi="Calibri" w:cs="Times New Roman"/>
              <w:b/>
              <w:snapToGrid w:val="0"/>
              <w:sz w:val="18"/>
              <w:szCs w:val="18"/>
              <w:lang w:val="en-GB"/>
            </w:rPr>
          </w:pPr>
        </w:p>
      </w:tc>
      <w:tc>
        <w:tcPr>
          <w:tcW w:w="146" w:type="dxa"/>
        </w:tcPr>
        <w:p w:rsidR="008B2216" w:rsidRPr="008B2216" w:rsidRDefault="008B2216" w:rsidP="008B2216">
          <w:pPr>
            <w:spacing w:after="160" w:line="259" w:lineRule="auto"/>
            <w:jc w:val="center"/>
            <w:rPr>
              <w:rFonts w:ascii="Calibri" w:eastAsia="Calibri" w:hAnsi="Calibri" w:cs="Times New Roman"/>
              <w:snapToGrid w:val="0"/>
              <w:lang w:val="en-GB"/>
            </w:rPr>
          </w:pPr>
        </w:p>
      </w:tc>
      <w:tc>
        <w:tcPr>
          <w:tcW w:w="146" w:type="dxa"/>
        </w:tcPr>
        <w:p w:rsidR="008B2216" w:rsidRPr="008B2216" w:rsidRDefault="008B2216" w:rsidP="008B2216">
          <w:pPr>
            <w:tabs>
              <w:tab w:val="left" w:pos="2465"/>
            </w:tabs>
            <w:spacing w:after="160" w:line="259" w:lineRule="auto"/>
            <w:ind w:left="697" w:right="182"/>
            <w:jc w:val="center"/>
            <w:rPr>
              <w:rFonts w:ascii="Calibri" w:eastAsia="Calibri" w:hAnsi="Calibri" w:cs="Times New Roman"/>
              <w:snapToGrid w:val="0"/>
              <w:lang w:val="en-GB"/>
            </w:rPr>
          </w:pPr>
        </w:p>
      </w:tc>
    </w:tr>
    <w:tr w:rsidR="00FA5FAF" w:rsidRPr="00FA5FAF" w:rsidTr="00FA5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3"/>
        <w:wAfter w:w="450" w:type="dxa"/>
        <w:trHeight w:val="1408"/>
      </w:trPr>
      <w:tc>
        <w:tcPr>
          <w:tcW w:w="1980" w:type="dxa"/>
          <w:gridSpan w:val="2"/>
          <w:vAlign w:val="center"/>
          <w:hideMark/>
        </w:tcPr>
        <w:p w:rsidR="00FA5FAF" w:rsidRPr="00FA5FAF" w:rsidRDefault="00FA5FAF" w:rsidP="00FA5FAF">
          <w:pPr>
            <w:spacing w:after="0"/>
            <w:jc w:val="center"/>
            <w:rPr>
              <w:rFonts w:ascii="Times New Roman" w:eastAsia="Times New Roman" w:hAnsi="Times New Roman" w:cs="Times New Roman"/>
              <w:b/>
              <w:sz w:val="20"/>
              <w:szCs w:val="20"/>
              <w:lang w:eastAsia="bg-BG"/>
            </w:rPr>
          </w:pPr>
          <w:r>
            <w:rPr>
              <w:rFonts w:ascii="Times New Roman" w:eastAsia="Times New Roman" w:hAnsi="Times New Roman" w:cs="Times New Roman"/>
              <w:noProof/>
              <w:sz w:val="24"/>
              <w:szCs w:val="20"/>
              <w:lang w:eastAsia="bg-BG"/>
            </w:rPr>
            <w:drawing>
              <wp:inline distT="0" distB="0" distL="0" distR="0" wp14:anchorId="2B75A63F" wp14:editId="5B7797C0">
                <wp:extent cx="1076325" cy="981075"/>
                <wp:effectExtent l="0" t="0" r="9525" b="9525"/>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81075"/>
                        </a:xfrm>
                        <a:prstGeom prst="rect">
                          <a:avLst/>
                        </a:prstGeom>
                        <a:noFill/>
                        <a:ln>
                          <a:noFill/>
                        </a:ln>
                      </pic:spPr>
                    </pic:pic>
                  </a:graphicData>
                </a:graphic>
              </wp:inline>
            </w:drawing>
          </w:r>
        </w:p>
      </w:tc>
      <w:tc>
        <w:tcPr>
          <w:tcW w:w="3260" w:type="dxa"/>
          <w:hideMark/>
        </w:tcPr>
        <w:p w:rsidR="00FA5FAF" w:rsidRPr="00FA5FAF" w:rsidRDefault="00FA5FAF" w:rsidP="00FA5FAF">
          <w:pPr>
            <w:spacing w:after="0"/>
            <w:jc w:val="center"/>
            <w:rPr>
              <w:rFonts w:ascii="Times New Roman" w:eastAsia="Times New Roman" w:hAnsi="Times New Roman" w:cs="Times New Roman"/>
              <w:b/>
              <w:sz w:val="24"/>
              <w:szCs w:val="24"/>
              <w:lang w:eastAsia="bg-BG"/>
            </w:rPr>
          </w:pPr>
          <w:r>
            <w:rPr>
              <w:rFonts w:ascii="Times New Roman" w:eastAsia="Times New Roman" w:hAnsi="Times New Roman" w:cs="Times New Roman"/>
              <w:noProof/>
              <w:sz w:val="24"/>
              <w:szCs w:val="20"/>
              <w:lang w:eastAsia="bg-BG"/>
            </w:rPr>
            <w:drawing>
              <wp:inline distT="0" distB="0" distL="0" distR="0" wp14:anchorId="16058AED" wp14:editId="6DAF6855">
                <wp:extent cx="1876425" cy="838200"/>
                <wp:effectExtent l="0" t="0" r="9525"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1876425" cy="838200"/>
                        </a:xfrm>
                        <a:prstGeom prst="rect">
                          <a:avLst/>
                        </a:prstGeom>
                        <a:noFill/>
                        <a:ln>
                          <a:noFill/>
                        </a:ln>
                      </pic:spPr>
                    </pic:pic>
                  </a:graphicData>
                </a:graphic>
              </wp:inline>
            </w:drawing>
          </w:r>
        </w:p>
      </w:tc>
      <w:tc>
        <w:tcPr>
          <w:tcW w:w="1842" w:type="dxa"/>
          <w:hideMark/>
        </w:tcPr>
        <w:p w:rsidR="00FA5FAF" w:rsidRPr="00FA5FAF" w:rsidRDefault="00FA5FAF" w:rsidP="00FA5FAF">
          <w:pPr>
            <w:spacing w:after="0"/>
            <w:rPr>
              <w:rFonts w:ascii="Times New Roman" w:eastAsia="Times New Roman" w:hAnsi="Times New Roman" w:cs="Times New Roman"/>
              <w:b/>
              <w:sz w:val="24"/>
              <w:szCs w:val="24"/>
              <w:lang w:eastAsia="bg-BG"/>
            </w:rPr>
          </w:pPr>
        </w:p>
        <w:p w:rsidR="00FA5FAF" w:rsidRPr="00FA5FAF" w:rsidRDefault="00FA5FAF" w:rsidP="00FA5FAF">
          <w:pPr>
            <w:spacing w:after="0"/>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noProof/>
              <w:sz w:val="24"/>
              <w:szCs w:val="24"/>
              <w:lang w:eastAsia="bg-BG"/>
            </w:rPr>
            <w:drawing>
              <wp:inline distT="0" distB="0" distL="0" distR="0" wp14:anchorId="7D427498" wp14:editId="797FE4D3">
                <wp:extent cx="762000" cy="600075"/>
                <wp:effectExtent l="0" t="0" r="0" b="952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2127" w:type="dxa"/>
        </w:tcPr>
        <w:p w:rsidR="00FA5FAF" w:rsidRPr="00FA5FAF" w:rsidRDefault="00FA5FAF" w:rsidP="00FA5FAF">
          <w:pPr>
            <w:spacing w:after="0"/>
            <w:rPr>
              <w:rFonts w:ascii="Times New Roman" w:eastAsia="Times New Roman" w:hAnsi="Times New Roman" w:cs="Times New Roman"/>
              <w:b/>
              <w:sz w:val="24"/>
              <w:szCs w:val="24"/>
              <w:lang w:eastAsia="bg-BG"/>
            </w:rPr>
          </w:pPr>
        </w:p>
        <w:p w:rsidR="00FA5FAF" w:rsidRPr="00FA5FAF" w:rsidRDefault="00FA5FAF" w:rsidP="00FA5FAF">
          <w:pPr>
            <w:spacing w:after="0"/>
            <w:ind w:right="34"/>
            <w:rPr>
              <w:rFonts w:ascii="Times New Roman" w:eastAsia="Times New Roman" w:hAnsi="Times New Roman" w:cs="Times New Roman"/>
              <w:b/>
              <w:sz w:val="24"/>
              <w:szCs w:val="24"/>
              <w:lang w:eastAsia="bg-BG"/>
            </w:rPr>
          </w:pPr>
          <w:r>
            <w:rPr>
              <w:rFonts w:ascii="Times New Roman" w:eastAsia="Times New Roman" w:hAnsi="Times New Roman" w:cs="Times New Roman"/>
              <w:i/>
              <w:noProof/>
              <w:sz w:val="20"/>
              <w:szCs w:val="20"/>
              <w:lang w:eastAsia="bg-BG"/>
            </w:rPr>
            <w:drawing>
              <wp:inline distT="0" distB="0" distL="0" distR="0" wp14:anchorId="3A7A6B5D" wp14:editId="05759A3E">
                <wp:extent cx="914400" cy="600075"/>
                <wp:effectExtent l="19050" t="19050" r="19050" b="285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r>
    <w:tr w:rsidR="00FA5FAF" w:rsidRPr="00FA5FAF" w:rsidTr="00FA5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3"/>
        <w:wAfter w:w="450" w:type="dxa"/>
        <w:trHeight w:val="268"/>
      </w:trPr>
      <w:tc>
        <w:tcPr>
          <w:tcW w:w="9209" w:type="dxa"/>
          <w:gridSpan w:val="5"/>
          <w:vAlign w:val="center"/>
        </w:tcPr>
        <w:p w:rsidR="00FA5FAF" w:rsidRPr="00FA5FAF" w:rsidRDefault="00FA5FAF" w:rsidP="00FA5FAF">
          <w:pPr>
            <w:spacing w:after="0"/>
            <w:jc w:val="center"/>
            <w:rPr>
              <w:rFonts w:ascii="Times New Roman" w:eastAsia="Times New Roman" w:hAnsi="Times New Roman" w:cs="Times New Roman"/>
              <w:b/>
              <w:iCs/>
              <w:sz w:val="20"/>
              <w:szCs w:val="20"/>
              <w:lang w:eastAsia="bg-BG"/>
            </w:rPr>
          </w:pPr>
          <w:r w:rsidRPr="00FA5FAF">
            <w:rPr>
              <w:rFonts w:ascii="Times New Roman" w:eastAsia="Times New Roman" w:hAnsi="Times New Roman" w:cs="Times New Roman"/>
              <w:b/>
              <w:iCs/>
              <w:sz w:val="20"/>
              <w:szCs w:val="20"/>
              <w:lang w:eastAsia="bg-BG"/>
            </w:rPr>
            <w:t>ВОДЕНО ОТ ОБЩНОСТИТЕ МЕСТНО РАЗВИТИЕ</w:t>
          </w:r>
        </w:p>
      </w:tc>
    </w:tr>
    <w:tr w:rsidR="00FA5FAF" w:rsidRPr="00FA5FAF" w:rsidTr="00FA5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3"/>
        <w:wAfter w:w="450" w:type="dxa"/>
        <w:trHeight w:val="70"/>
      </w:trPr>
      <w:tc>
        <w:tcPr>
          <w:tcW w:w="9209" w:type="dxa"/>
          <w:gridSpan w:val="5"/>
          <w:vAlign w:val="center"/>
        </w:tcPr>
        <w:p w:rsidR="00FA5FAF" w:rsidRPr="00FA5FAF" w:rsidRDefault="00FA5FAF" w:rsidP="00FA5FAF">
          <w:pPr>
            <w:spacing w:after="0"/>
            <w:jc w:val="center"/>
            <w:rPr>
              <w:rFonts w:ascii="Times New Roman" w:eastAsia="Times New Roman" w:hAnsi="Times New Roman" w:cs="Times New Roman"/>
              <w:b/>
              <w:iCs/>
              <w:sz w:val="20"/>
              <w:szCs w:val="20"/>
              <w:lang w:eastAsia="bg-BG"/>
            </w:rPr>
          </w:pPr>
          <w:r w:rsidRPr="00FA5FAF">
            <w:rPr>
              <w:rFonts w:ascii="Times New Roman" w:eastAsia="Times New Roman" w:hAnsi="Times New Roman" w:cs="Times New Roman"/>
              <w:b/>
              <w:iCs/>
              <w:sz w:val="20"/>
              <w:szCs w:val="20"/>
              <w:lang w:eastAsia="bg-BG"/>
            </w:rPr>
            <w:t>МЕСТНА ИНИЦИАТИВНА ГРУПА – ОБЩИНА МАРИЦА</w:t>
          </w:r>
        </w:p>
      </w:tc>
    </w:tr>
  </w:tbl>
  <w:p w:rsidR="00364204" w:rsidRDefault="003642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15702"/>
    <w:rsid w:val="00020E0B"/>
    <w:rsid w:val="00021DCF"/>
    <w:rsid w:val="0003699C"/>
    <w:rsid w:val="0004005C"/>
    <w:rsid w:val="00045584"/>
    <w:rsid w:val="000568E4"/>
    <w:rsid w:val="00062143"/>
    <w:rsid w:val="00071A1D"/>
    <w:rsid w:val="000B38AD"/>
    <w:rsid w:val="000B6360"/>
    <w:rsid w:val="000C2A46"/>
    <w:rsid w:val="000C4C0C"/>
    <w:rsid w:val="000C6413"/>
    <w:rsid w:val="000C731A"/>
    <w:rsid w:val="000D040C"/>
    <w:rsid w:val="000D418B"/>
    <w:rsid w:val="000E43C4"/>
    <w:rsid w:val="000E4FFF"/>
    <w:rsid w:val="001375DA"/>
    <w:rsid w:val="00151B68"/>
    <w:rsid w:val="001566B9"/>
    <w:rsid w:val="001637DA"/>
    <w:rsid w:val="001675DC"/>
    <w:rsid w:val="00176AD2"/>
    <w:rsid w:val="00177AF4"/>
    <w:rsid w:val="0019069B"/>
    <w:rsid w:val="00196567"/>
    <w:rsid w:val="001B57E3"/>
    <w:rsid w:val="001B61A7"/>
    <w:rsid w:val="00207A2E"/>
    <w:rsid w:val="0021679D"/>
    <w:rsid w:val="002407B4"/>
    <w:rsid w:val="0028583C"/>
    <w:rsid w:val="002938F6"/>
    <w:rsid w:val="00294A6E"/>
    <w:rsid w:val="002A570D"/>
    <w:rsid w:val="002A6026"/>
    <w:rsid w:val="002B18E2"/>
    <w:rsid w:val="002B20F2"/>
    <w:rsid w:val="00311B06"/>
    <w:rsid w:val="00311D57"/>
    <w:rsid w:val="00322E2E"/>
    <w:rsid w:val="003234D8"/>
    <w:rsid w:val="0032781F"/>
    <w:rsid w:val="00364204"/>
    <w:rsid w:val="00380C77"/>
    <w:rsid w:val="00392471"/>
    <w:rsid w:val="003C0505"/>
    <w:rsid w:val="003E2225"/>
    <w:rsid w:val="003E7DFA"/>
    <w:rsid w:val="00413F4A"/>
    <w:rsid w:val="00425D7E"/>
    <w:rsid w:val="00434D2A"/>
    <w:rsid w:val="004377EF"/>
    <w:rsid w:val="00487B87"/>
    <w:rsid w:val="004A221D"/>
    <w:rsid w:val="004E15B4"/>
    <w:rsid w:val="004E3FD3"/>
    <w:rsid w:val="004E6D9F"/>
    <w:rsid w:val="00502F9C"/>
    <w:rsid w:val="005155E4"/>
    <w:rsid w:val="00562CDD"/>
    <w:rsid w:val="00590097"/>
    <w:rsid w:val="005B109C"/>
    <w:rsid w:val="005B71CE"/>
    <w:rsid w:val="005C3A6A"/>
    <w:rsid w:val="005C6D27"/>
    <w:rsid w:val="005D5D2C"/>
    <w:rsid w:val="005E04B9"/>
    <w:rsid w:val="005E3ADC"/>
    <w:rsid w:val="00617C0E"/>
    <w:rsid w:val="00624B99"/>
    <w:rsid w:val="0062729B"/>
    <w:rsid w:val="00655AB9"/>
    <w:rsid w:val="00666644"/>
    <w:rsid w:val="006675E7"/>
    <w:rsid w:val="006932EA"/>
    <w:rsid w:val="006B35B9"/>
    <w:rsid w:val="006C0465"/>
    <w:rsid w:val="006C43D4"/>
    <w:rsid w:val="006C7B36"/>
    <w:rsid w:val="006D243B"/>
    <w:rsid w:val="006D5204"/>
    <w:rsid w:val="006F5552"/>
    <w:rsid w:val="007268F0"/>
    <w:rsid w:val="00734B42"/>
    <w:rsid w:val="00741F45"/>
    <w:rsid w:val="0074385D"/>
    <w:rsid w:val="0074665C"/>
    <w:rsid w:val="00752BE3"/>
    <w:rsid w:val="00761200"/>
    <w:rsid w:val="0078029D"/>
    <w:rsid w:val="00784610"/>
    <w:rsid w:val="00785637"/>
    <w:rsid w:val="007B5FF0"/>
    <w:rsid w:val="007C19D5"/>
    <w:rsid w:val="007E18D5"/>
    <w:rsid w:val="007E4C7D"/>
    <w:rsid w:val="007F4E6D"/>
    <w:rsid w:val="007F75CF"/>
    <w:rsid w:val="00807E03"/>
    <w:rsid w:val="0082616B"/>
    <w:rsid w:val="00831362"/>
    <w:rsid w:val="00857CD1"/>
    <w:rsid w:val="00870D1D"/>
    <w:rsid w:val="00876B7B"/>
    <w:rsid w:val="00880021"/>
    <w:rsid w:val="00884591"/>
    <w:rsid w:val="008A3B65"/>
    <w:rsid w:val="008B2216"/>
    <w:rsid w:val="008C5A28"/>
    <w:rsid w:val="008D22C2"/>
    <w:rsid w:val="008D51DE"/>
    <w:rsid w:val="008D61F4"/>
    <w:rsid w:val="008E4D35"/>
    <w:rsid w:val="008F2DBC"/>
    <w:rsid w:val="0091098E"/>
    <w:rsid w:val="00911F09"/>
    <w:rsid w:val="009200B0"/>
    <w:rsid w:val="009228BD"/>
    <w:rsid w:val="00924D9B"/>
    <w:rsid w:val="00936946"/>
    <w:rsid w:val="0095447F"/>
    <w:rsid w:val="00954573"/>
    <w:rsid w:val="00960116"/>
    <w:rsid w:val="00970420"/>
    <w:rsid w:val="009944A0"/>
    <w:rsid w:val="009B112E"/>
    <w:rsid w:val="009D632B"/>
    <w:rsid w:val="009F6C1F"/>
    <w:rsid w:val="009F7BB2"/>
    <w:rsid w:val="00A004ED"/>
    <w:rsid w:val="00A14845"/>
    <w:rsid w:val="00A1789B"/>
    <w:rsid w:val="00A26995"/>
    <w:rsid w:val="00A32D97"/>
    <w:rsid w:val="00A641AE"/>
    <w:rsid w:val="00A90EA8"/>
    <w:rsid w:val="00AA5F85"/>
    <w:rsid w:val="00AB66B3"/>
    <w:rsid w:val="00AC5A69"/>
    <w:rsid w:val="00AC6F3F"/>
    <w:rsid w:val="00AD2903"/>
    <w:rsid w:val="00AD39DA"/>
    <w:rsid w:val="00AE06FF"/>
    <w:rsid w:val="00B00C99"/>
    <w:rsid w:val="00B219EC"/>
    <w:rsid w:val="00B47A1F"/>
    <w:rsid w:val="00B50A28"/>
    <w:rsid w:val="00B54D6C"/>
    <w:rsid w:val="00B570F3"/>
    <w:rsid w:val="00B663BB"/>
    <w:rsid w:val="00BA0725"/>
    <w:rsid w:val="00BC06E5"/>
    <w:rsid w:val="00BF171D"/>
    <w:rsid w:val="00BF26B0"/>
    <w:rsid w:val="00BF30D2"/>
    <w:rsid w:val="00C1144B"/>
    <w:rsid w:val="00C22321"/>
    <w:rsid w:val="00C227AA"/>
    <w:rsid w:val="00C43F18"/>
    <w:rsid w:val="00C470C9"/>
    <w:rsid w:val="00C5289A"/>
    <w:rsid w:val="00C60101"/>
    <w:rsid w:val="00C64722"/>
    <w:rsid w:val="00C67B6D"/>
    <w:rsid w:val="00C83BE5"/>
    <w:rsid w:val="00C86681"/>
    <w:rsid w:val="00CB0C05"/>
    <w:rsid w:val="00CF381D"/>
    <w:rsid w:val="00D00B17"/>
    <w:rsid w:val="00D012AB"/>
    <w:rsid w:val="00D077BE"/>
    <w:rsid w:val="00D45B42"/>
    <w:rsid w:val="00D47C85"/>
    <w:rsid w:val="00D55DC2"/>
    <w:rsid w:val="00D73B92"/>
    <w:rsid w:val="00D772ED"/>
    <w:rsid w:val="00D86C4E"/>
    <w:rsid w:val="00D91DD2"/>
    <w:rsid w:val="00DA3619"/>
    <w:rsid w:val="00DC24DC"/>
    <w:rsid w:val="00DF094A"/>
    <w:rsid w:val="00DF2DF7"/>
    <w:rsid w:val="00DF5409"/>
    <w:rsid w:val="00DF71C8"/>
    <w:rsid w:val="00E12165"/>
    <w:rsid w:val="00E20EE5"/>
    <w:rsid w:val="00E310CD"/>
    <w:rsid w:val="00E32E04"/>
    <w:rsid w:val="00E42994"/>
    <w:rsid w:val="00E43262"/>
    <w:rsid w:val="00E6244E"/>
    <w:rsid w:val="00E67A50"/>
    <w:rsid w:val="00E735F8"/>
    <w:rsid w:val="00E80306"/>
    <w:rsid w:val="00E86682"/>
    <w:rsid w:val="00E94DD0"/>
    <w:rsid w:val="00EA1E54"/>
    <w:rsid w:val="00EE7F6C"/>
    <w:rsid w:val="00F0518A"/>
    <w:rsid w:val="00F06A3C"/>
    <w:rsid w:val="00F25879"/>
    <w:rsid w:val="00F27621"/>
    <w:rsid w:val="00F46AA0"/>
    <w:rsid w:val="00F56BC0"/>
    <w:rsid w:val="00F702F0"/>
    <w:rsid w:val="00F74603"/>
    <w:rsid w:val="00F83726"/>
    <w:rsid w:val="00F859F7"/>
    <w:rsid w:val="00F95920"/>
    <w:rsid w:val="00FA5FAF"/>
    <w:rsid w:val="00FB2F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4204"/>
    <w:pPr>
      <w:tabs>
        <w:tab w:val="center" w:pos="4536"/>
        <w:tab w:val="right" w:pos="9072"/>
      </w:tabs>
      <w:spacing w:after="0" w:line="240" w:lineRule="auto"/>
    </w:pPr>
  </w:style>
  <w:style w:type="character" w:customStyle="1" w:styleId="a4">
    <w:name w:val="Горен колонтитул Знак"/>
    <w:basedOn w:val="a0"/>
    <w:link w:val="a3"/>
    <w:uiPriority w:val="99"/>
    <w:rsid w:val="00364204"/>
  </w:style>
  <w:style w:type="paragraph" w:styleId="a5">
    <w:name w:val="footer"/>
    <w:basedOn w:val="a"/>
    <w:link w:val="a6"/>
    <w:uiPriority w:val="99"/>
    <w:unhideWhenUsed/>
    <w:rsid w:val="00364204"/>
    <w:pPr>
      <w:tabs>
        <w:tab w:val="center" w:pos="4536"/>
        <w:tab w:val="right" w:pos="9072"/>
      </w:tabs>
      <w:spacing w:after="0" w:line="240" w:lineRule="auto"/>
    </w:pPr>
  </w:style>
  <w:style w:type="character" w:customStyle="1" w:styleId="a6">
    <w:name w:val="Долен колонтитул Знак"/>
    <w:basedOn w:val="a0"/>
    <w:link w:val="a5"/>
    <w:uiPriority w:val="99"/>
    <w:rsid w:val="00364204"/>
  </w:style>
  <w:style w:type="paragraph" w:styleId="a7">
    <w:name w:val="footnote text"/>
    <w:basedOn w:val="a"/>
    <w:link w:val="a8"/>
    <w:uiPriority w:val="99"/>
    <w:unhideWhenUsed/>
    <w:rsid w:val="0082616B"/>
    <w:pPr>
      <w:spacing w:after="0" w:line="240" w:lineRule="auto"/>
    </w:pPr>
    <w:rPr>
      <w:sz w:val="20"/>
      <w:szCs w:val="20"/>
    </w:rPr>
  </w:style>
  <w:style w:type="character" w:customStyle="1" w:styleId="a8">
    <w:name w:val="Текст под линия Знак"/>
    <w:basedOn w:val="a0"/>
    <w:link w:val="a7"/>
    <w:uiPriority w:val="99"/>
    <w:rsid w:val="0082616B"/>
    <w:rPr>
      <w:sz w:val="20"/>
      <w:szCs w:val="20"/>
    </w:rPr>
  </w:style>
  <w:style w:type="paragraph" w:styleId="a9">
    <w:name w:val="Balloon Text"/>
    <w:basedOn w:val="a"/>
    <w:link w:val="aa"/>
    <w:uiPriority w:val="99"/>
    <w:semiHidden/>
    <w:unhideWhenUsed/>
    <w:rsid w:val="007F4E6D"/>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7F4E6D"/>
    <w:rPr>
      <w:rFonts w:ascii="Tahoma" w:hAnsi="Tahoma" w:cs="Tahoma"/>
      <w:sz w:val="16"/>
      <w:szCs w:val="16"/>
    </w:rPr>
  </w:style>
  <w:style w:type="paragraph" w:styleId="ab">
    <w:name w:val="List Paragraph"/>
    <w:basedOn w:val="a"/>
    <w:uiPriority w:val="34"/>
    <w:qFormat/>
    <w:rsid w:val="007F4E6D"/>
    <w:pPr>
      <w:ind w:left="720"/>
      <w:contextualSpacing/>
    </w:pPr>
  </w:style>
  <w:style w:type="character" w:styleId="ac">
    <w:name w:val="footnote reference"/>
    <w:aliases w:val="Footnote symbol"/>
    <w:basedOn w:val="a0"/>
    <w:semiHidden/>
    <w:unhideWhenUsed/>
    <w:rsid w:val="000568E4"/>
    <w:rPr>
      <w:vertAlign w:val="superscript"/>
    </w:rPr>
  </w:style>
  <w:style w:type="character" w:styleId="ad">
    <w:name w:val="annotation reference"/>
    <w:basedOn w:val="a0"/>
    <w:uiPriority w:val="99"/>
    <w:semiHidden/>
    <w:unhideWhenUsed/>
    <w:rsid w:val="006D243B"/>
    <w:rPr>
      <w:sz w:val="16"/>
      <w:szCs w:val="16"/>
    </w:rPr>
  </w:style>
  <w:style w:type="paragraph" w:styleId="ae">
    <w:name w:val="annotation text"/>
    <w:basedOn w:val="a"/>
    <w:link w:val="af"/>
    <w:uiPriority w:val="99"/>
    <w:semiHidden/>
    <w:unhideWhenUsed/>
    <w:rsid w:val="006D243B"/>
    <w:pPr>
      <w:spacing w:line="240" w:lineRule="auto"/>
    </w:pPr>
    <w:rPr>
      <w:sz w:val="20"/>
      <w:szCs w:val="20"/>
    </w:rPr>
  </w:style>
  <w:style w:type="character" w:customStyle="1" w:styleId="af">
    <w:name w:val="Текст на коментар Знак"/>
    <w:basedOn w:val="a0"/>
    <w:link w:val="ae"/>
    <w:uiPriority w:val="99"/>
    <w:semiHidden/>
    <w:rsid w:val="006D243B"/>
    <w:rPr>
      <w:sz w:val="20"/>
      <w:szCs w:val="20"/>
    </w:rPr>
  </w:style>
  <w:style w:type="paragraph" w:styleId="af0">
    <w:name w:val="annotation subject"/>
    <w:basedOn w:val="ae"/>
    <w:next w:val="ae"/>
    <w:link w:val="af1"/>
    <w:uiPriority w:val="99"/>
    <w:semiHidden/>
    <w:unhideWhenUsed/>
    <w:rsid w:val="006D243B"/>
    <w:rPr>
      <w:b/>
      <w:bCs/>
    </w:rPr>
  </w:style>
  <w:style w:type="character" w:customStyle="1" w:styleId="af1">
    <w:name w:val="Предмет на коментар Знак"/>
    <w:basedOn w:val="af"/>
    <w:link w:val="af0"/>
    <w:uiPriority w:val="99"/>
    <w:semiHidden/>
    <w:rsid w:val="006D243B"/>
    <w:rPr>
      <w:b/>
      <w:bCs/>
      <w:sz w:val="20"/>
      <w:szCs w:val="20"/>
    </w:rPr>
  </w:style>
  <w:style w:type="character" w:styleId="af2">
    <w:name w:val="Hyperlink"/>
    <w:basedOn w:val="a0"/>
    <w:uiPriority w:val="99"/>
    <w:unhideWhenUsed/>
    <w:rsid w:val="009704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4204"/>
    <w:pPr>
      <w:tabs>
        <w:tab w:val="center" w:pos="4536"/>
        <w:tab w:val="right" w:pos="9072"/>
      </w:tabs>
      <w:spacing w:after="0" w:line="240" w:lineRule="auto"/>
    </w:pPr>
  </w:style>
  <w:style w:type="character" w:customStyle="1" w:styleId="a4">
    <w:name w:val="Горен колонтитул Знак"/>
    <w:basedOn w:val="a0"/>
    <w:link w:val="a3"/>
    <w:uiPriority w:val="99"/>
    <w:rsid w:val="00364204"/>
  </w:style>
  <w:style w:type="paragraph" w:styleId="a5">
    <w:name w:val="footer"/>
    <w:basedOn w:val="a"/>
    <w:link w:val="a6"/>
    <w:uiPriority w:val="99"/>
    <w:unhideWhenUsed/>
    <w:rsid w:val="00364204"/>
    <w:pPr>
      <w:tabs>
        <w:tab w:val="center" w:pos="4536"/>
        <w:tab w:val="right" w:pos="9072"/>
      </w:tabs>
      <w:spacing w:after="0" w:line="240" w:lineRule="auto"/>
    </w:pPr>
  </w:style>
  <w:style w:type="character" w:customStyle="1" w:styleId="a6">
    <w:name w:val="Долен колонтитул Знак"/>
    <w:basedOn w:val="a0"/>
    <w:link w:val="a5"/>
    <w:uiPriority w:val="99"/>
    <w:rsid w:val="00364204"/>
  </w:style>
  <w:style w:type="paragraph" w:styleId="a7">
    <w:name w:val="footnote text"/>
    <w:basedOn w:val="a"/>
    <w:link w:val="a8"/>
    <w:uiPriority w:val="99"/>
    <w:unhideWhenUsed/>
    <w:rsid w:val="0082616B"/>
    <w:pPr>
      <w:spacing w:after="0" w:line="240" w:lineRule="auto"/>
    </w:pPr>
    <w:rPr>
      <w:sz w:val="20"/>
      <w:szCs w:val="20"/>
    </w:rPr>
  </w:style>
  <w:style w:type="character" w:customStyle="1" w:styleId="a8">
    <w:name w:val="Текст под линия Знак"/>
    <w:basedOn w:val="a0"/>
    <w:link w:val="a7"/>
    <w:uiPriority w:val="99"/>
    <w:rsid w:val="0082616B"/>
    <w:rPr>
      <w:sz w:val="20"/>
      <w:szCs w:val="20"/>
    </w:rPr>
  </w:style>
  <w:style w:type="paragraph" w:styleId="a9">
    <w:name w:val="Balloon Text"/>
    <w:basedOn w:val="a"/>
    <w:link w:val="aa"/>
    <w:uiPriority w:val="99"/>
    <w:semiHidden/>
    <w:unhideWhenUsed/>
    <w:rsid w:val="007F4E6D"/>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7F4E6D"/>
    <w:rPr>
      <w:rFonts w:ascii="Tahoma" w:hAnsi="Tahoma" w:cs="Tahoma"/>
      <w:sz w:val="16"/>
      <w:szCs w:val="16"/>
    </w:rPr>
  </w:style>
  <w:style w:type="paragraph" w:styleId="ab">
    <w:name w:val="List Paragraph"/>
    <w:basedOn w:val="a"/>
    <w:uiPriority w:val="34"/>
    <w:qFormat/>
    <w:rsid w:val="007F4E6D"/>
    <w:pPr>
      <w:ind w:left="720"/>
      <w:contextualSpacing/>
    </w:pPr>
  </w:style>
  <w:style w:type="character" w:styleId="ac">
    <w:name w:val="footnote reference"/>
    <w:aliases w:val="Footnote symbol"/>
    <w:basedOn w:val="a0"/>
    <w:semiHidden/>
    <w:unhideWhenUsed/>
    <w:rsid w:val="000568E4"/>
    <w:rPr>
      <w:vertAlign w:val="superscript"/>
    </w:rPr>
  </w:style>
  <w:style w:type="character" w:styleId="ad">
    <w:name w:val="annotation reference"/>
    <w:basedOn w:val="a0"/>
    <w:uiPriority w:val="99"/>
    <w:semiHidden/>
    <w:unhideWhenUsed/>
    <w:rsid w:val="006D243B"/>
    <w:rPr>
      <w:sz w:val="16"/>
      <w:szCs w:val="16"/>
    </w:rPr>
  </w:style>
  <w:style w:type="paragraph" w:styleId="ae">
    <w:name w:val="annotation text"/>
    <w:basedOn w:val="a"/>
    <w:link w:val="af"/>
    <w:uiPriority w:val="99"/>
    <w:semiHidden/>
    <w:unhideWhenUsed/>
    <w:rsid w:val="006D243B"/>
    <w:pPr>
      <w:spacing w:line="240" w:lineRule="auto"/>
    </w:pPr>
    <w:rPr>
      <w:sz w:val="20"/>
      <w:szCs w:val="20"/>
    </w:rPr>
  </w:style>
  <w:style w:type="character" w:customStyle="1" w:styleId="af">
    <w:name w:val="Текст на коментар Знак"/>
    <w:basedOn w:val="a0"/>
    <w:link w:val="ae"/>
    <w:uiPriority w:val="99"/>
    <w:semiHidden/>
    <w:rsid w:val="006D243B"/>
    <w:rPr>
      <w:sz w:val="20"/>
      <w:szCs w:val="20"/>
    </w:rPr>
  </w:style>
  <w:style w:type="paragraph" w:styleId="af0">
    <w:name w:val="annotation subject"/>
    <w:basedOn w:val="ae"/>
    <w:next w:val="ae"/>
    <w:link w:val="af1"/>
    <w:uiPriority w:val="99"/>
    <w:semiHidden/>
    <w:unhideWhenUsed/>
    <w:rsid w:val="006D243B"/>
    <w:rPr>
      <w:b/>
      <w:bCs/>
    </w:rPr>
  </w:style>
  <w:style w:type="character" w:customStyle="1" w:styleId="af1">
    <w:name w:val="Предмет на коментар Знак"/>
    <w:basedOn w:val="af"/>
    <w:link w:val="af0"/>
    <w:uiPriority w:val="99"/>
    <w:semiHidden/>
    <w:rsid w:val="006D243B"/>
    <w:rPr>
      <w:b/>
      <w:bCs/>
      <w:sz w:val="20"/>
      <w:szCs w:val="20"/>
    </w:rPr>
  </w:style>
  <w:style w:type="character" w:styleId="af2">
    <w:name w:val="Hyperlink"/>
    <w:basedOn w:val="a0"/>
    <w:uiPriority w:val="99"/>
    <w:unhideWhenUsed/>
    <w:rsid w:val="009704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A5DC7-A335-482C-B9BF-43F92D6A5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2228</Words>
  <Characters>12700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User</cp:lastModifiedBy>
  <cp:revision>4</cp:revision>
  <cp:lastPrinted>2015-04-30T10:45:00Z</cp:lastPrinted>
  <dcterms:created xsi:type="dcterms:W3CDTF">2018-01-18T20:32:00Z</dcterms:created>
  <dcterms:modified xsi:type="dcterms:W3CDTF">2018-09-17T13:32:00Z</dcterms:modified>
</cp:coreProperties>
</file>